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23CC975B" w:rsidR="002B4F4A" w:rsidRPr="008011DC" w:rsidRDefault="00CC6142" w:rsidP="00832408">
      <w:pPr>
        <w:spacing w:after="0" w:line="240" w:lineRule="auto"/>
        <w:jc w:val="center"/>
        <w:rPr>
          <w:rFonts w:ascii="Verdana" w:hAnsi="Verdana"/>
          <w:b/>
          <w:bCs/>
          <w:sz w:val="20"/>
          <w:szCs w:val="20"/>
        </w:rPr>
      </w:pPr>
      <w:r w:rsidRPr="008011DC">
        <w:rPr>
          <w:rFonts w:ascii="Verdana" w:hAnsi="Verdana"/>
          <w:b/>
          <w:bCs/>
          <w:sz w:val="20"/>
          <w:szCs w:val="20"/>
        </w:rPr>
        <w:t>PARTE</w:t>
      </w:r>
      <w:r w:rsidR="00A41E5E" w:rsidRPr="008011DC">
        <w:rPr>
          <w:rFonts w:ascii="Verdana" w:hAnsi="Verdana"/>
          <w:b/>
          <w:bCs/>
          <w:sz w:val="20"/>
          <w:szCs w:val="20"/>
        </w:rPr>
        <w:t xml:space="preserve"> </w:t>
      </w:r>
      <w:r w:rsidR="001A1549" w:rsidRPr="008011DC">
        <w:rPr>
          <w:rFonts w:ascii="Verdana" w:hAnsi="Verdana"/>
          <w:b/>
          <w:bCs/>
          <w:sz w:val="20"/>
          <w:szCs w:val="20"/>
        </w:rPr>
        <w:t>1</w:t>
      </w:r>
    </w:p>
    <w:p w14:paraId="6000F327" w14:textId="54FFCEDD" w:rsidR="0006736C" w:rsidRPr="008011DC" w:rsidRDefault="001A1549" w:rsidP="00832408">
      <w:pPr>
        <w:spacing w:after="0" w:line="240" w:lineRule="auto"/>
        <w:jc w:val="center"/>
        <w:rPr>
          <w:rFonts w:ascii="Verdana" w:hAnsi="Verdana"/>
          <w:b/>
          <w:bCs/>
          <w:sz w:val="20"/>
          <w:szCs w:val="20"/>
        </w:rPr>
      </w:pPr>
      <w:r w:rsidRPr="008011DC">
        <w:rPr>
          <w:rFonts w:ascii="Verdana" w:hAnsi="Verdana"/>
          <w:b/>
          <w:bCs/>
          <w:sz w:val="20"/>
          <w:szCs w:val="20"/>
        </w:rPr>
        <w:t>ADMINISTRACIÓN DE RIESGOS</w:t>
      </w:r>
    </w:p>
    <w:p w14:paraId="1BF07C81" w14:textId="77777777" w:rsidR="00721D02" w:rsidRPr="008011DC" w:rsidRDefault="00721D02" w:rsidP="00832408">
      <w:pPr>
        <w:spacing w:after="0" w:line="240" w:lineRule="auto"/>
        <w:jc w:val="center"/>
        <w:rPr>
          <w:rFonts w:ascii="Verdana" w:hAnsi="Verdana"/>
          <w:b/>
          <w:bCs/>
          <w:sz w:val="20"/>
          <w:szCs w:val="20"/>
        </w:rPr>
      </w:pPr>
    </w:p>
    <w:p w14:paraId="438B98D3" w14:textId="0174E495" w:rsidR="00A41E5E" w:rsidRPr="008011DC" w:rsidRDefault="00A41E5E" w:rsidP="00832408">
      <w:pPr>
        <w:spacing w:after="0" w:line="240" w:lineRule="auto"/>
        <w:jc w:val="center"/>
        <w:rPr>
          <w:rFonts w:ascii="Verdana" w:hAnsi="Verdana"/>
          <w:b/>
          <w:bCs/>
          <w:sz w:val="20"/>
          <w:szCs w:val="20"/>
        </w:rPr>
      </w:pPr>
      <w:r w:rsidRPr="008011DC">
        <w:rPr>
          <w:rFonts w:ascii="Verdana" w:hAnsi="Verdana"/>
          <w:b/>
          <w:bCs/>
          <w:sz w:val="20"/>
          <w:szCs w:val="20"/>
        </w:rPr>
        <w:t xml:space="preserve">CAPÍTULO </w:t>
      </w:r>
      <w:r w:rsidR="00905AB8" w:rsidRPr="008011DC">
        <w:rPr>
          <w:rFonts w:ascii="Verdana" w:hAnsi="Verdana"/>
          <w:b/>
          <w:bCs/>
          <w:sz w:val="20"/>
          <w:szCs w:val="20"/>
        </w:rPr>
        <w:t>4</w:t>
      </w:r>
    </w:p>
    <w:p w14:paraId="2A3E7952" w14:textId="3EE18084" w:rsidR="00A91BD2" w:rsidRPr="00A91BD2" w:rsidRDefault="00A91BD2" w:rsidP="00832408">
      <w:pPr>
        <w:spacing w:after="0" w:line="240" w:lineRule="auto"/>
        <w:jc w:val="center"/>
        <w:rPr>
          <w:rFonts w:ascii="Verdana" w:hAnsi="Verdana"/>
          <w:b/>
          <w:bCs/>
          <w:sz w:val="20"/>
          <w:szCs w:val="20"/>
          <w:lang w:val="es-419"/>
        </w:rPr>
      </w:pPr>
      <w:r w:rsidRPr="00A91BD2">
        <w:rPr>
          <w:rFonts w:ascii="Verdana" w:hAnsi="Verdana"/>
          <w:b/>
          <w:bCs/>
          <w:sz w:val="20"/>
          <w:szCs w:val="20"/>
          <w:lang w:val="es-419"/>
        </w:rPr>
        <w:t>GESTIÓN DE RIESGOS AMBIENTALES Y SOCIALES, INCLUIDOS LOS CLIMÁTICOS</w:t>
      </w:r>
    </w:p>
    <w:p w14:paraId="39C0F590" w14:textId="77777777" w:rsidR="00A91BD2" w:rsidRPr="00A91BD2" w:rsidRDefault="00A91BD2" w:rsidP="00832408">
      <w:pPr>
        <w:spacing w:after="0" w:line="240" w:lineRule="auto"/>
        <w:jc w:val="center"/>
        <w:rPr>
          <w:rFonts w:ascii="Verdana" w:hAnsi="Verdana"/>
          <w:b/>
          <w:bCs/>
          <w:sz w:val="20"/>
          <w:szCs w:val="20"/>
          <w:lang w:val="es-419"/>
        </w:rPr>
      </w:pPr>
    </w:p>
    <w:p w14:paraId="3A9966AF" w14:textId="77777777" w:rsidR="00A91BD2" w:rsidRPr="001A41C2" w:rsidRDefault="00A91BD2" w:rsidP="00832408">
      <w:pPr>
        <w:spacing w:after="0" w:line="240" w:lineRule="auto"/>
        <w:jc w:val="center"/>
        <w:rPr>
          <w:rFonts w:ascii="Verdana" w:hAnsi="Verdana"/>
          <w:b/>
          <w:bCs/>
          <w:sz w:val="20"/>
          <w:szCs w:val="20"/>
          <w:lang w:val="es-419"/>
        </w:rPr>
      </w:pPr>
    </w:p>
    <w:p w14:paraId="71EB14BF" w14:textId="6DCAB744" w:rsidR="001A41C2" w:rsidRDefault="00A91BD2" w:rsidP="001A41C2">
      <w:pPr>
        <w:spacing w:after="0" w:line="240" w:lineRule="auto"/>
        <w:jc w:val="center"/>
        <w:rPr>
          <w:rFonts w:ascii="Verdana" w:hAnsi="Verdana" w:cs="Arial"/>
          <w:b/>
          <w:bCs/>
          <w:sz w:val="20"/>
          <w:szCs w:val="20"/>
          <w:lang w:val="es-ES"/>
        </w:rPr>
      </w:pPr>
      <w:r w:rsidRPr="001A41C2">
        <w:rPr>
          <w:rFonts w:ascii="Verdana" w:hAnsi="Verdana"/>
          <w:b/>
          <w:bCs/>
          <w:sz w:val="20"/>
          <w:szCs w:val="20"/>
          <w:lang w:val="es-419"/>
        </w:rPr>
        <w:t xml:space="preserve">SECCIÓN </w:t>
      </w:r>
      <w:r w:rsidR="00545957">
        <w:rPr>
          <w:rFonts w:ascii="Verdana" w:hAnsi="Verdana"/>
          <w:b/>
          <w:bCs/>
          <w:sz w:val="20"/>
          <w:szCs w:val="20"/>
          <w:lang w:val="es-419"/>
        </w:rPr>
        <w:t>2</w:t>
      </w:r>
      <w:r w:rsidR="001A41C2" w:rsidRPr="001A41C2">
        <w:rPr>
          <w:rFonts w:ascii="Verdana" w:hAnsi="Verdana"/>
          <w:b/>
          <w:bCs/>
          <w:sz w:val="20"/>
          <w:szCs w:val="20"/>
          <w:lang w:val="es-419"/>
        </w:rPr>
        <w:t xml:space="preserve"> - </w:t>
      </w:r>
      <w:r w:rsidR="001A41C2" w:rsidRPr="001A41C2">
        <w:rPr>
          <w:rFonts w:ascii="Verdana" w:hAnsi="Verdana" w:cs="Arial"/>
          <w:b/>
          <w:bCs/>
          <w:sz w:val="20"/>
          <w:szCs w:val="20"/>
          <w:lang w:val="es-ES"/>
        </w:rPr>
        <w:t>REGLAS PARTICULARES PARA LA GESTIÓN DEL RIESGO AMBIENTAL Y SOCIAL, INCLUIDO EL CLIMÁTICO, EN LAS OPERACIONES DE CRÉDITO</w:t>
      </w:r>
    </w:p>
    <w:p w14:paraId="4B208BA9" w14:textId="77777777" w:rsidR="00BA60F0" w:rsidRDefault="00BA60F0" w:rsidP="001A41C2">
      <w:pPr>
        <w:spacing w:after="0" w:line="240" w:lineRule="auto"/>
        <w:jc w:val="center"/>
        <w:rPr>
          <w:rFonts w:ascii="Verdana" w:hAnsi="Verdana" w:cs="Arial"/>
          <w:b/>
          <w:bCs/>
          <w:sz w:val="20"/>
          <w:szCs w:val="20"/>
          <w:lang w:val="es-ES"/>
        </w:rPr>
      </w:pPr>
    </w:p>
    <w:p w14:paraId="5921FEBD" w14:textId="77777777" w:rsidR="00BA60F0" w:rsidRDefault="00BA60F0" w:rsidP="001A41C2">
      <w:pPr>
        <w:spacing w:after="0" w:line="240" w:lineRule="auto"/>
        <w:jc w:val="center"/>
        <w:rPr>
          <w:rFonts w:ascii="Verdana" w:hAnsi="Verdana" w:cs="Arial"/>
          <w:b/>
          <w:bCs/>
          <w:sz w:val="20"/>
          <w:szCs w:val="20"/>
          <w:lang w:val="es-ES"/>
        </w:rPr>
      </w:pPr>
    </w:p>
    <w:p w14:paraId="2BCACA90" w14:textId="04CBFE98" w:rsidR="00BA60F0" w:rsidRDefault="00F921AD" w:rsidP="001A41C2">
      <w:pPr>
        <w:spacing w:after="0" w:line="240" w:lineRule="auto"/>
        <w:jc w:val="center"/>
        <w:rPr>
          <w:rFonts w:ascii="Verdana" w:hAnsi="Verdana" w:cs="Arial"/>
          <w:b/>
          <w:bCs/>
          <w:sz w:val="20"/>
          <w:szCs w:val="20"/>
          <w:lang w:val="es-ES"/>
        </w:rPr>
      </w:pPr>
      <w:r w:rsidRPr="00054A77">
        <w:rPr>
          <w:rFonts w:ascii="Verdana" w:hAnsi="Verdana"/>
          <w:noProof/>
          <w:sz w:val="20"/>
          <w:szCs w:val="20"/>
        </w:rPr>
        <mc:AlternateContent>
          <mc:Choice Requires="wps">
            <w:drawing>
              <wp:anchor distT="45720" distB="45720" distL="114300" distR="114300" simplePos="0" relativeHeight="251659264" behindDoc="0" locked="0" layoutInCell="1" allowOverlap="1" wp14:anchorId="20F2C019" wp14:editId="1BC03F5F">
                <wp:simplePos x="0" y="0"/>
                <wp:positionH relativeFrom="margin">
                  <wp:posOffset>0</wp:posOffset>
                </wp:positionH>
                <wp:positionV relativeFrom="paragraph">
                  <wp:posOffset>200025</wp:posOffset>
                </wp:positionV>
                <wp:extent cx="5689600" cy="2038350"/>
                <wp:effectExtent l="0" t="0" r="25400" b="1905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2038350"/>
                        </a:xfrm>
                        <a:prstGeom prst="rect">
                          <a:avLst/>
                        </a:prstGeom>
                        <a:solidFill>
                          <a:srgbClr val="FFFFFF"/>
                        </a:solidFill>
                        <a:ln w="19050">
                          <a:solidFill>
                            <a:srgbClr val="000000"/>
                          </a:solidFill>
                          <a:miter lim="800000"/>
                          <a:headEnd/>
                          <a:tailEnd/>
                        </a:ln>
                      </wps:spPr>
                      <wps:txbx>
                        <w:txbxContent>
                          <w:p w14:paraId="062620EE" w14:textId="05B0EB30" w:rsidR="00F921AD" w:rsidRDefault="00F921AD" w:rsidP="00F921AD">
                            <w:pPr>
                              <w:jc w:val="center"/>
                              <w:rPr>
                                <w:rFonts w:ascii="Verdana" w:hAnsi="Verdana"/>
                                <w:sz w:val="20"/>
                                <w:szCs w:val="20"/>
                              </w:rPr>
                            </w:pPr>
                            <w:r w:rsidRPr="00054A77">
                              <w:rPr>
                                <w:rFonts w:ascii="Verdana" w:hAnsi="Verdana"/>
                                <w:sz w:val="20"/>
                                <w:szCs w:val="20"/>
                              </w:rPr>
                              <w:t>Es</w:t>
                            </w:r>
                            <w:r>
                              <w:rPr>
                                <w:rFonts w:ascii="Verdana" w:hAnsi="Verdana"/>
                                <w:sz w:val="20"/>
                                <w:szCs w:val="20"/>
                              </w:rPr>
                              <w:t xml:space="preserve">te capítulo fue expedido mediante la Circular Externa 015 de 2025, y </w:t>
                            </w:r>
                            <w:proofErr w:type="gramStart"/>
                            <w:r>
                              <w:rPr>
                                <w:rFonts w:ascii="Verdana" w:hAnsi="Verdana"/>
                                <w:sz w:val="20"/>
                                <w:szCs w:val="20"/>
                              </w:rPr>
                              <w:t>entra en vigencia</w:t>
                            </w:r>
                            <w:proofErr w:type="gramEnd"/>
                            <w:r>
                              <w:rPr>
                                <w:rFonts w:ascii="Verdana" w:hAnsi="Verdana"/>
                                <w:sz w:val="20"/>
                                <w:szCs w:val="20"/>
                              </w:rPr>
                              <w:t xml:space="preserve"> el </w:t>
                            </w:r>
                            <w:r w:rsidR="00F61A85">
                              <w:rPr>
                                <w:rFonts w:ascii="Verdana" w:hAnsi="Verdana"/>
                                <w:sz w:val="20"/>
                                <w:szCs w:val="20"/>
                              </w:rPr>
                              <w:t>3 de abril de 2027.</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0F2C019" id="_x0000_t202" coordsize="21600,21600" o:spt="202" path="m,l,21600r21600,l21600,xe">
                <v:stroke joinstyle="miter"/>
                <v:path gradientshapeok="t" o:connecttype="rect"/>
              </v:shapetype>
              <v:shape id="Cuadro de texto 2" o:spid="_x0000_s1026" type="#_x0000_t202" style="position:absolute;left:0;text-align:left;margin-left:0;margin-top:15.75pt;width:448pt;height:16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" strokeweight="1.5pt">
                <v:textbox>
                  <w:txbxContent>
                    <w:p w14:paraId="062620EE" w14:textId="05B0EB30" w:rsidR="00F921AD" w:rsidRDefault="00F921AD" w:rsidP="00F921AD">
                      <w:pPr>
                        <w:jc w:val="center"/>
                        <w:rPr>
                          <w:rFonts w:ascii="Verdana" w:hAnsi="Verdana"/>
                          <w:sz w:val="20"/>
                          <w:szCs w:val="20"/>
                        </w:rPr>
                      </w:pPr>
                      <w:r w:rsidRPr="00054A77">
                        <w:rPr>
                          <w:rFonts w:ascii="Verdana" w:hAnsi="Verdana"/>
                          <w:sz w:val="20"/>
                          <w:szCs w:val="20"/>
                        </w:rPr>
                        <w:t>Es</w:t>
                      </w:r>
                      <w:r>
                        <w:rPr>
                          <w:rFonts w:ascii="Verdana" w:hAnsi="Verdana"/>
                          <w:sz w:val="20"/>
                          <w:szCs w:val="20"/>
                        </w:rPr>
                        <w:t xml:space="preserve">te capítulo fue expedido mediante la Circular Externa 015 de 2025, y </w:t>
                      </w:r>
                      <w:proofErr w:type="gramStart"/>
                      <w:r>
                        <w:rPr>
                          <w:rFonts w:ascii="Verdana" w:hAnsi="Verdana"/>
                          <w:sz w:val="20"/>
                          <w:szCs w:val="20"/>
                        </w:rPr>
                        <w:t>entra en vigencia</w:t>
                      </w:r>
                      <w:proofErr w:type="gramEnd"/>
                      <w:r>
                        <w:rPr>
                          <w:rFonts w:ascii="Verdana" w:hAnsi="Verdana"/>
                          <w:sz w:val="20"/>
                          <w:szCs w:val="20"/>
                        </w:rPr>
                        <w:t xml:space="preserve"> el </w:t>
                      </w:r>
                      <w:r w:rsidR="00F61A85">
                        <w:rPr>
                          <w:rFonts w:ascii="Verdana" w:hAnsi="Verdana"/>
                          <w:sz w:val="20"/>
                          <w:szCs w:val="20"/>
                        </w:rPr>
                        <w:t>3 de abril de 2027.</w:t>
                      </w:r>
                    </w:p>
                  </w:txbxContent>
                </v:textbox>
                <w10:wrap type="square" anchorx="margin"/>
              </v:shape>
            </w:pict>
          </mc:Fallback>
        </mc:AlternateContent>
      </w:r>
    </w:p>
    <w:p w14:paraId="0BB55A4B" w14:textId="77777777" w:rsidR="00F61A85" w:rsidRDefault="00F61A85" w:rsidP="001A41C2">
      <w:pPr>
        <w:spacing w:after="0" w:line="240" w:lineRule="auto"/>
        <w:jc w:val="center"/>
        <w:rPr>
          <w:rFonts w:ascii="Verdana" w:hAnsi="Verdana" w:cs="Arial"/>
          <w:b/>
          <w:bCs/>
          <w:sz w:val="20"/>
          <w:szCs w:val="20"/>
          <w:lang w:val="es-ES"/>
        </w:rPr>
        <w:sectPr w:rsidR="00F61A85" w:rsidSect="003C558F">
          <w:headerReference w:type="default" r:id="rId11"/>
          <w:pgSz w:w="12240" w:h="20160" w:code="5"/>
          <w:pgMar w:top="1701" w:right="1701" w:bottom="1417" w:left="1701" w:header="708" w:footer="708" w:gutter="0"/>
          <w:cols w:space="708"/>
          <w:docGrid w:linePitch="360"/>
        </w:sectPr>
      </w:pPr>
    </w:p>
    <w:p w14:paraId="194F19EA" w14:textId="77777777" w:rsidR="00F61A85" w:rsidRPr="008011DC" w:rsidRDefault="00F61A85" w:rsidP="00F61A85">
      <w:pPr>
        <w:spacing w:after="0" w:line="240" w:lineRule="auto"/>
        <w:jc w:val="center"/>
        <w:rPr>
          <w:rFonts w:ascii="Verdana" w:hAnsi="Verdana"/>
          <w:b/>
          <w:bCs/>
          <w:sz w:val="20"/>
          <w:szCs w:val="20"/>
        </w:rPr>
      </w:pPr>
      <w:r w:rsidRPr="008011DC">
        <w:rPr>
          <w:rFonts w:ascii="Verdana" w:hAnsi="Verdana"/>
          <w:b/>
          <w:bCs/>
          <w:sz w:val="20"/>
          <w:szCs w:val="20"/>
        </w:rPr>
        <w:lastRenderedPageBreak/>
        <w:t>PARTE 1</w:t>
      </w:r>
    </w:p>
    <w:p w14:paraId="0AA1D25E" w14:textId="77777777" w:rsidR="00F61A85" w:rsidRPr="008011DC" w:rsidRDefault="00F61A85" w:rsidP="00F61A85">
      <w:pPr>
        <w:spacing w:after="0" w:line="240" w:lineRule="auto"/>
        <w:jc w:val="center"/>
        <w:rPr>
          <w:rFonts w:ascii="Verdana" w:hAnsi="Verdana"/>
          <w:b/>
          <w:bCs/>
          <w:sz w:val="20"/>
          <w:szCs w:val="20"/>
        </w:rPr>
      </w:pPr>
      <w:r w:rsidRPr="008011DC">
        <w:rPr>
          <w:rFonts w:ascii="Verdana" w:hAnsi="Verdana"/>
          <w:b/>
          <w:bCs/>
          <w:sz w:val="20"/>
          <w:szCs w:val="20"/>
        </w:rPr>
        <w:t>ADMINISTRACIÓN DE RIESGOS</w:t>
      </w:r>
    </w:p>
    <w:p w14:paraId="7D102800" w14:textId="77777777" w:rsidR="00F61A85" w:rsidRPr="008011DC" w:rsidRDefault="00F61A85" w:rsidP="00F61A85">
      <w:pPr>
        <w:spacing w:after="0" w:line="240" w:lineRule="auto"/>
        <w:jc w:val="center"/>
        <w:rPr>
          <w:rFonts w:ascii="Verdana" w:hAnsi="Verdana"/>
          <w:b/>
          <w:bCs/>
          <w:sz w:val="20"/>
          <w:szCs w:val="20"/>
        </w:rPr>
      </w:pPr>
    </w:p>
    <w:p w14:paraId="6FDB8F9E" w14:textId="77777777" w:rsidR="00F61A85" w:rsidRPr="008011DC" w:rsidRDefault="00F61A85" w:rsidP="00F61A85">
      <w:pPr>
        <w:spacing w:after="0" w:line="240" w:lineRule="auto"/>
        <w:jc w:val="center"/>
        <w:rPr>
          <w:rFonts w:ascii="Verdana" w:hAnsi="Verdana"/>
          <w:b/>
          <w:bCs/>
          <w:sz w:val="20"/>
          <w:szCs w:val="20"/>
        </w:rPr>
      </w:pPr>
      <w:r w:rsidRPr="008011DC">
        <w:rPr>
          <w:rFonts w:ascii="Verdana" w:hAnsi="Verdana"/>
          <w:b/>
          <w:bCs/>
          <w:sz w:val="20"/>
          <w:szCs w:val="20"/>
        </w:rPr>
        <w:t>CAPÍTULO 4</w:t>
      </w:r>
    </w:p>
    <w:p w14:paraId="552197E8" w14:textId="77777777" w:rsidR="00F61A85" w:rsidRPr="00A91BD2" w:rsidRDefault="00F61A85" w:rsidP="00F61A85">
      <w:pPr>
        <w:spacing w:after="0" w:line="240" w:lineRule="auto"/>
        <w:jc w:val="center"/>
        <w:rPr>
          <w:rFonts w:ascii="Verdana" w:hAnsi="Verdana"/>
          <w:b/>
          <w:bCs/>
          <w:sz w:val="20"/>
          <w:szCs w:val="20"/>
          <w:lang w:val="es-419"/>
        </w:rPr>
      </w:pPr>
      <w:r w:rsidRPr="00A91BD2">
        <w:rPr>
          <w:rFonts w:ascii="Verdana" w:hAnsi="Verdana"/>
          <w:b/>
          <w:bCs/>
          <w:sz w:val="20"/>
          <w:szCs w:val="20"/>
          <w:lang w:val="es-419"/>
        </w:rPr>
        <w:t>GESTIÓN DE RIESGOS AMBIENTALES Y SOCIALES, INCLUIDOS LOS CLIMÁTICOS</w:t>
      </w:r>
    </w:p>
    <w:p w14:paraId="04CD94B3" w14:textId="77777777" w:rsidR="00F61A85" w:rsidRPr="00A91BD2" w:rsidRDefault="00F61A85" w:rsidP="00F61A85">
      <w:pPr>
        <w:spacing w:after="0" w:line="240" w:lineRule="auto"/>
        <w:jc w:val="center"/>
        <w:rPr>
          <w:rFonts w:ascii="Verdana" w:hAnsi="Verdana"/>
          <w:b/>
          <w:bCs/>
          <w:sz w:val="20"/>
          <w:szCs w:val="20"/>
          <w:lang w:val="es-419"/>
        </w:rPr>
      </w:pPr>
    </w:p>
    <w:p w14:paraId="5DCE3C57" w14:textId="77777777" w:rsidR="00F61A85" w:rsidRPr="001A41C2" w:rsidRDefault="00F61A85" w:rsidP="00F61A85">
      <w:pPr>
        <w:spacing w:after="0" w:line="240" w:lineRule="auto"/>
        <w:jc w:val="center"/>
        <w:rPr>
          <w:rFonts w:ascii="Verdana" w:hAnsi="Verdana"/>
          <w:b/>
          <w:bCs/>
          <w:sz w:val="20"/>
          <w:szCs w:val="20"/>
          <w:lang w:val="es-419"/>
        </w:rPr>
      </w:pPr>
    </w:p>
    <w:p w14:paraId="5E4C877E" w14:textId="4BEDC0FA" w:rsidR="00BA60F0" w:rsidRPr="001A41C2" w:rsidRDefault="00F61A85" w:rsidP="00F61A85">
      <w:pPr>
        <w:spacing w:after="0" w:line="240" w:lineRule="auto"/>
        <w:jc w:val="center"/>
        <w:rPr>
          <w:rFonts w:ascii="Verdana" w:hAnsi="Verdana" w:cs="Arial"/>
          <w:b/>
          <w:bCs/>
          <w:sz w:val="20"/>
          <w:szCs w:val="20"/>
          <w:lang w:val="es-ES"/>
        </w:rPr>
      </w:pPr>
      <w:r w:rsidRPr="001A41C2">
        <w:rPr>
          <w:rFonts w:ascii="Verdana" w:hAnsi="Verdana"/>
          <w:b/>
          <w:bCs/>
          <w:sz w:val="20"/>
          <w:szCs w:val="20"/>
          <w:lang w:val="es-419"/>
        </w:rPr>
        <w:t xml:space="preserve">SECCIÓN </w:t>
      </w:r>
      <w:r>
        <w:rPr>
          <w:rFonts w:ascii="Verdana" w:hAnsi="Verdana"/>
          <w:b/>
          <w:bCs/>
          <w:sz w:val="20"/>
          <w:szCs w:val="20"/>
          <w:lang w:val="es-419"/>
        </w:rPr>
        <w:t>2</w:t>
      </w:r>
      <w:r w:rsidRPr="001A41C2">
        <w:rPr>
          <w:rFonts w:ascii="Verdana" w:hAnsi="Verdana"/>
          <w:b/>
          <w:bCs/>
          <w:sz w:val="20"/>
          <w:szCs w:val="20"/>
          <w:lang w:val="es-419"/>
        </w:rPr>
        <w:t xml:space="preserve"> - </w:t>
      </w:r>
      <w:r w:rsidRPr="001A41C2">
        <w:rPr>
          <w:rFonts w:ascii="Verdana" w:hAnsi="Verdana" w:cs="Arial"/>
          <w:b/>
          <w:bCs/>
          <w:sz w:val="20"/>
          <w:szCs w:val="20"/>
          <w:lang w:val="es-ES"/>
        </w:rPr>
        <w:t>REGLAS PARTICULARES PARA LA GESTIÓN DEL RIESGO AMBIENTAL Y SOCIAL, INCLUIDO EL CLIMÁTICO, EN LAS OPERACIONES DE CRÉDITO</w:t>
      </w:r>
    </w:p>
    <w:p w14:paraId="6287DCEB" w14:textId="77777777" w:rsidR="001A41C2" w:rsidRDefault="001A41C2" w:rsidP="001A41C2">
      <w:pPr>
        <w:tabs>
          <w:tab w:val="left" w:pos="426"/>
        </w:tabs>
        <w:spacing w:after="0" w:line="240" w:lineRule="auto"/>
        <w:jc w:val="both"/>
        <w:rPr>
          <w:rFonts w:ascii="Verdana" w:hAnsi="Verdana" w:cs="Arial"/>
          <w:sz w:val="20"/>
          <w:szCs w:val="20"/>
          <w:lang w:val="es-ES"/>
        </w:rPr>
      </w:pPr>
    </w:p>
    <w:p w14:paraId="37960134" w14:textId="77777777" w:rsidR="00F61A85" w:rsidRPr="001A41C2" w:rsidRDefault="00F61A85" w:rsidP="001A41C2">
      <w:pPr>
        <w:tabs>
          <w:tab w:val="left" w:pos="426"/>
        </w:tabs>
        <w:spacing w:after="0" w:line="240" w:lineRule="auto"/>
        <w:jc w:val="both"/>
        <w:rPr>
          <w:rFonts w:ascii="Verdana" w:hAnsi="Verdana" w:cs="Arial"/>
          <w:sz w:val="20"/>
          <w:szCs w:val="20"/>
          <w:lang w:val="es-ES"/>
        </w:rPr>
      </w:pPr>
    </w:p>
    <w:p w14:paraId="4D1C9749" w14:textId="4BFB23DD" w:rsidR="001A41C2" w:rsidRPr="001A41C2" w:rsidRDefault="001A41C2" w:rsidP="001A41C2">
      <w:pPr>
        <w:tabs>
          <w:tab w:val="left" w:pos="426"/>
        </w:tabs>
        <w:spacing w:after="0" w:line="240" w:lineRule="auto"/>
        <w:jc w:val="both"/>
        <w:rPr>
          <w:rFonts w:ascii="Verdana" w:hAnsi="Verdana" w:cs="Arial"/>
          <w:b/>
          <w:bCs/>
          <w:sz w:val="20"/>
          <w:szCs w:val="20"/>
          <w:lang w:val="es-ES"/>
        </w:rPr>
      </w:pPr>
      <w:r w:rsidRPr="001A41C2">
        <w:rPr>
          <w:rFonts w:ascii="Verdana" w:hAnsi="Verdana" w:cs="Arial"/>
          <w:b/>
          <w:bCs/>
          <w:sz w:val="20"/>
          <w:szCs w:val="20"/>
          <w:lang w:val="es-ES"/>
        </w:rPr>
        <w:t xml:space="preserve">CONSIDERACIONES GENERALES </w:t>
      </w:r>
    </w:p>
    <w:p w14:paraId="5CE49E9D"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7C9BAC80" w14:textId="49FC9013" w:rsidR="001A41C2" w:rsidRDefault="001A41C2" w:rsidP="001A41C2">
      <w:pPr>
        <w:spacing w:after="0" w:line="240" w:lineRule="auto"/>
        <w:jc w:val="both"/>
        <w:rPr>
          <w:rFonts w:ascii="Verdana" w:hAnsi="Verdana"/>
          <w:sz w:val="20"/>
          <w:szCs w:val="20"/>
        </w:rPr>
      </w:pPr>
      <w:r>
        <w:rPr>
          <w:rFonts w:ascii="Verdana" w:hAnsi="Verdana"/>
          <w:sz w:val="20"/>
          <w:szCs w:val="20"/>
        </w:rPr>
        <w:t>1.4.2.1.</w:t>
      </w:r>
    </w:p>
    <w:p w14:paraId="49A5D7BC"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r w:rsidRPr="001A41C2">
        <w:rPr>
          <w:rFonts w:ascii="Verdana" w:hAnsi="Verdana" w:cs="Arial"/>
          <w:sz w:val="20"/>
          <w:szCs w:val="20"/>
          <w:lang w:val="es-ES"/>
        </w:rPr>
        <w:t>Las entidades deben establecer políticas y procedimientos para la identificación, medición, control y monitoreo de los riesgos ambientales y sociales, incluidos los climáticos, en las operaciones de crédito, de conformidad con las instrucciones previstas en la presente Sección.</w:t>
      </w:r>
    </w:p>
    <w:p w14:paraId="7A5213F2"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59A5C0DE" w14:textId="56E19FF1" w:rsidR="001A41C2" w:rsidRDefault="001A41C2" w:rsidP="001A41C2">
      <w:pPr>
        <w:tabs>
          <w:tab w:val="left" w:pos="426"/>
        </w:tabs>
        <w:spacing w:after="0" w:line="240" w:lineRule="auto"/>
        <w:jc w:val="both"/>
        <w:rPr>
          <w:rFonts w:ascii="Verdana" w:hAnsi="Verdana"/>
          <w:sz w:val="20"/>
          <w:szCs w:val="20"/>
        </w:rPr>
      </w:pPr>
      <w:r>
        <w:rPr>
          <w:rFonts w:ascii="Verdana" w:hAnsi="Verdana"/>
          <w:sz w:val="20"/>
          <w:szCs w:val="20"/>
        </w:rPr>
        <w:t>1.4.2.2.</w:t>
      </w:r>
    </w:p>
    <w:p w14:paraId="39D42426" w14:textId="0708049D" w:rsidR="001A41C2" w:rsidRPr="001A41C2" w:rsidRDefault="001A41C2" w:rsidP="001A41C2">
      <w:pPr>
        <w:tabs>
          <w:tab w:val="left" w:pos="426"/>
        </w:tabs>
        <w:spacing w:after="0" w:line="240" w:lineRule="auto"/>
        <w:jc w:val="both"/>
        <w:rPr>
          <w:rFonts w:ascii="Verdana" w:hAnsi="Verdana" w:cs="Arial"/>
          <w:sz w:val="20"/>
          <w:szCs w:val="20"/>
          <w:lang w:val="es-ES"/>
        </w:rPr>
      </w:pPr>
      <w:r w:rsidRPr="001A41C2">
        <w:rPr>
          <w:rFonts w:ascii="Verdana" w:hAnsi="Verdana" w:cs="Arial"/>
          <w:sz w:val="20"/>
          <w:szCs w:val="20"/>
          <w:lang w:val="es-ES"/>
        </w:rPr>
        <w:t xml:space="preserve">Las instrucciones contenidas en la presente Sección corresponden a lineamientos mínimos que deben observar las entidades en la gestión del riesgo ambiental y social, incluido el climático, en las operaciones de crédito. Por lo tanto, las entidades pueden implementar voluntariamente medidas adicionales que resulten pertinentes según su perfil y apetito de riesgo, plan de negocio, naturaleza y características de sus operaciones, entre otros. </w:t>
      </w:r>
    </w:p>
    <w:p w14:paraId="1A7B9BC0"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1312D557" w14:textId="31CEC05C" w:rsidR="001A41C2" w:rsidRPr="001A41C2" w:rsidRDefault="001A41C2" w:rsidP="001A41C2">
      <w:pPr>
        <w:tabs>
          <w:tab w:val="left" w:pos="426"/>
        </w:tabs>
        <w:spacing w:after="0" w:line="240" w:lineRule="auto"/>
        <w:jc w:val="both"/>
        <w:rPr>
          <w:rFonts w:ascii="Verdana" w:hAnsi="Verdana" w:cs="Arial"/>
          <w:b/>
          <w:bCs/>
          <w:sz w:val="20"/>
          <w:szCs w:val="20"/>
          <w:lang w:val="es-ES"/>
        </w:rPr>
      </w:pPr>
      <w:r w:rsidRPr="001A41C2">
        <w:rPr>
          <w:rFonts w:ascii="Verdana" w:hAnsi="Verdana" w:cs="Arial"/>
          <w:b/>
          <w:bCs/>
          <w:sz w:val="20"/>
          <w:szCs w:val="20"/>
          <w:lang w:val="es-ES"/>
        </w:rPr>
        <w:t xml:space="preserve">ÁMBITO DE APLICACIÓN </w:t>
      </w:r>
    </w:p>
    <w:p w14:paraId="548F341C"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73EEF947" w14:textId="2D2A6626" w:rsidR="001A41C2" w:rsidRDefault="001A41C2" w:rsidP="001A41C2">
      <w:pPr>
        <w:tabs>
          <w:tab w:val="left" w:pos="426"/>
        </w:tabs>
        <w:spacing w:after="0" w:line="240" w:lineRule="auto"/>
        <w:jc w:val="both"/>
        <w:rPr>
          <w:rFonts w:ascii="Verdana" w:hAnsi="Verdana"/>
          <w:sz w:val="20"/>
          <w:szCs w:val="20"/>
        </w:rPr>
      </w:pPr>
      <w:r>
        <w:rPr>
          <w:rFonts w:ascii="Verdana" w:hAnsi="Verdana"/>
          <w:sz w:val="20"/>
          <w:szCs w:val="20"/>
        </w:rPr>
        <w:t>1.4.2.3.</w:t>
      </w:r>
    </w:p>
    <w:p w14:paraId="14CEF748" w14:textId="67E2694F" w:rsidR="001A41C2" w:rsidRPr="001A41C2" w:rsidRDefault="001A41C2" w:rsidP="001A41C2">
      <w:pPr>
        <w:tabs>
          <w:tab w:val="left" w:pos="426"/>
        </w:tabs>
        <w:spacing w:after="0" w:line="240" w:lineRule="auto"/>
        <w:jc w:val="both"/>
        <w:rPr>
          <w:rFonts w:ascii="Verdana" w:hAnsi="Verdana" w:cs="Arial"/>
          <w:sz w:val="20"/>
          <w:szCs w:val="20"/>
          <w:lang w:val="es-ES"/>
        </w:rPr>
      </w:pPr>
      <w:r w:rsidRPr="001A41C2">
        <w:rPr>
          <w:rFonts w:ascii="Verdana" w:hAnsi="Verdana" w:cs="Arial"/>
          <w:sz w:val="20"/>
          <w:szCs w:val="20"/>
          <w:lang w:val="es-ES"/>
        </w:rPr>
        <w:t>Las entidades obligadas a cumplir con las instrucciones de la Sección II del presente Capítulo son:</w:t>
      </w:r>
    </w:p>
    <w:p w14:paraId="62F14837"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5D6C559F" w14:textId="6EAE7E7B" w:rsidR="001A41C2" w:rsidRPr="001A41C2" w:rsidRDefault="001A41C2" w:rsidP="00346459">
      <w:pPr>
        <w:pStyle w:val="Prrafodelista"/>
        <w:numPr>
          <w:ilvl w:val="0"/>
          <w:numId w:val="14"/>
        </w:numPr>
        <w:tabs>
          <w:tab w:val="left" w:pos="426"/>
        </w:tabs>
        <w:spacing w:after="0" w:line="240" w:lineRule="auto"/>
        <w:ind w:left="567" w:hanging="567"/>
        <w:jc w:val="both"/>
        <w:rPr>
          <w:rFonts w:ascii="Verdana" w:hAnsi="Verdana" w:cs="Arial"/>
          <w:sz w:val="20"/>
          <w:szCs w:val="20"/>
          <w:lang w:val="es-ES"/>
        </w:rPr>
      </w:pPr>
      <w:r w:rsidRPr="001A41C2">
        <w:rPr>
          <w:rFonts w:ascii="Verdana" w:hAnsi="Verdana" w:cs="Arial"/>
          <w:sz w:val="20"/>
          <w:szCs w:val="20"/>
          <w:lang w:val="es-ES"/>
        </w:rPr>
        <w:t>Los establecimientos bancarios, las corporaciones financieras, las compañías de financiamiento, las entidades cooperativas de carácter financiero y los organismos cooperativos de grado superior</w:t>
      </w:r>
    </w:p>
    <w:p w14:paraId="201DA754" w14:textId="3762489B" w:rsidR="001A41C2" w:rsidRPr="001A41C2" w:rsidRDefault="001A41C2" w:rsidP="00346459">
      <w:pPr>
        <w:tabs>
          <w:tab w:val="left" w:pos="426"/>
        </w:tabs>
        <w:spacing w:after="0" w:line="240" w:lineRule="auto"/>
        <w:ind w:left="567" w:hanging="567"/>
        <w:jc w:val="both"/>
        <w:rPr>
          <w:rFonts w:ascii="Verdana" w:hAnsi="Verdana" w:cs="Arial"/>
          <w:sz w:val="20"/>
          <w:szCs w:val="20"/>
          <w:lang w:val="es-ES"/>
        </w:rPr>
      </w:pPr>
    </w:p>
    <w:p w14:paraId="2CA910F1" w14:textId="50883F12" w:rsidR="001A41C2" w:rsidRPr="001A41C2" w:rsidRDefault="001A41C2" w:rsidP="00346459">
      <w:pPr>
        <w:pStyle w:val="Prrafodelista"/>
        <w:numPr>
          <w:ilvl w:val="0"/>
          <w:numId w:val="14"/>
        </w:numPr>
        <w:tabs>
          <w:tab w:val="left" w:pos="426"/>
        </w:tabs>
        <w:spacing w:after="0" w:line="240" w:lineRule="auto"/>
        <w:ind w:left="567" w:hanging="567"/>
        <w:jc w:val="both"/>
        <w:rPr>
          <w:rFonts w:ascii="Verdana" w:hAnsi="Verdana" w:cs="Arial"/>
          <w:sz w:val="20"/>
          <w:szCs w:val="20"/>
          <w:lang w:val="es-ES"/>
        </w:rPr>
      </w:pPr>
      <w:r w:rsidRPr="001A41C2">
        <w:rPr>
          <w:rFonts w:ascii="Verdana" w:hAnsi="Verdana" w:cs="Arial"/>
          <w:sz w:val="20"/>
          <w:szCs w:val="20"/>
          <w:lang w:val="es-ES"/>
        </w:rPr>
        <w:t>El Banco de Comercio Exterior de Colombia S.A. (Bancoldex), la Financiera de Desarrollo Nacional S.A. (FDN), la Financiera de Desarrollo Territorial (Findeter), el Fondo para el Financiamiento del Sector Agropecuario (Finagro) y la Empresa Nacional Promotora del Desarrollo Territorial (</w:t>
      </w:r>
      <w:proofErr w:type="spellStart"/>
      <w:r w:rsidRPr="001A41C2">
        <w:rPr>
          <w:rFonts w:ascii="Verdana" w:hAnsi="Verdana" w:cs="Arial"/>
          <w:sz w:val="20"/>
          <w:szCs w:val="20"/>
          <w:lang w:val="es-ES"/>
        </w:rPr>
        <w:t>ENTerritorio</w:t>
      </w:r>
      <w:proofErr w:type="spellEnd"/>
      <w:r w:rsidRPr="001A41C2">
        <w:rPr>
          <w:rFonts w:ascii="Verdana" w:hAnsi="Verdana" w:cs="Arial"/>
          <w:sz w:val="20"/>
          <w:szCs w:val="20"/>
          <w:lang w:val="es-ES"/>
        </w:rPr>
        <w:t xml:space="preserve">), siempre que originen directamente operaciones crediticias con deudores. Por lo tanto, las instrucciones contenidas en la Sección II del presente Capítulo no resultan aplicables a las operaciones de redescuento que realicen estas Instituciones Oficiales Especiales (IOE), cuando estas operen como banca de segundo piso con intermediarios financieros, sin perjuicio de que dichas instituciones y las demás IOE puedan aplicar voluntariamente estas instrucciones, u otros mecanismos equivalentes que consideren convenientes. </w:t>
      </w:r>
    </w:p>
    <w:p w14:paraId="6CFBB5B4" w14:textId="77777777" w:rsidR="001A41C2" w:rsidRPr="001A41C2" w:rsidRDefault="001A41C2" w:rsidP="001A41C2">
      <w:pPr>
        <w:tabs>
          <w:tab w:val="left" w:pos="426"/>
        </w:tabs>
        <w:spacing w:after="0" w:line="240" w:lineRule="auto"/>
        <w:jc w:val="both"/>
        <w:rPr>
          <w:rFonts w:ascii="Verdana" w:hAnsi="Verdana" w:cs="Arial"/>
          <w:b/>
          <w:bCs/>
          <w:sz w:val="20"/>
          <w:szCs w:val="20"/>
          <w:lang w:val="es-ES"/>
        </w:rPr>
      </w:pPr>
    </w:p>
    <w:p w14:paraId="0F76B786" w14:textId="7BCDE0DF" w:rsidR="001A41C2" w:rsidRPr="001A41C2" w:rsidRDefault="001A41C2" w:rsidP="001A41C2">
      <w:pPr>
        <w:tabs>
          <w:tab w:val="left" w:pos="426"/>
        </w:tabs>
        <w:spacing w:after="0" w:line="240" w:lineRule="auto"/>
        <w:jc w:val="both"/>
        <w:rPr>
          <w:rFonts w:ascii="Verdana" w:hAnsi="Verdana" w:cs="Arial"/>
          <w:b/>
          <w:bCs/>
          <w:sz w:val="20"/>
          <w:szCs w:val="20"/>
          <w:lang w:val="es-ES"/>
        </w:rPr>
      </w:pPr>
      <w:r w:rsidRPr="001A41C2">
        <w:rPr>
          <w:rFonts w:ascii="Verdana" w:hAnsi="Verdana" w:cs="Arial"/>
          <w:b/>
          <w:bCs/>
          <w:sz w:val="20"/>
          <w:szCs w:val="20"/>
          <w:lang w:val="es-ES"/>
        </w:rPr>
        <w:t xml:space="preserve">PRINCIPIO DE PROPORCIONALIDAD </w:t>
      </w:r>
    </w:p>
    <w:p w14:paraId="586B5057"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1A3FB5B4" w14:textId="77777777" w:rsidR="001A41C2" w:rsidRDefault="001A41C2" w:rsidP="001A41C2">
      <w:pPr>
        <w:tabs>
          <w:tab w:val="left" w:pos="426"/>
        </w:tabs>
        <w:spacing w:after="0" w:line="240" w:lineRule="auto"/>
        <w:jc w:val="both"/>
        <w:rPr>
          <w:rFonts w:ascii="Verdana" w:hAnsi="Verdana"/>
          <w:sz w:val="20"/>
          <w:szCs w:val="20"/>
        </w:rPr>
      </w:pPr>
      <w:r>
        <w:rPr>
          <w:rFonts w:ascii="Verdana" w:hAnsi="Verdana"/>
          <w:sz w:val="20"/>
          <w:szCs w:val="20"/>
        </w:rPr>
        <w:t>1.4.2.4.</w:t>
      </w:r>
    </w:p>
    <w:p w14:paraId="27F61072" w14:textId="2B3E90A4" w:rsidR="001A41C2" w:rsidRPr="001A41C2" w:rsidRDefault="001A41C2" w:rsidP="001A41C2">
      <w:pPr>
        <w:tabs>
          <w:tab w:val="left" w:pos="426"/>
        </w:tabs>
        <w:spacing w:after="0" w:line="240" w:lineRule="auto"/>
        <w:jc w:val="both"/>
        <w:rPr>
          <w:rFonts w:ascii="Verdana" w:hAnsi="Verdana" w:cs="Arial"/>
          <w:sz w:val="20"/>
          <w:szCs w:val="20"/>
          <w:lang w:val="es-ES"/>
        </w:rPr>
      </w:pPr>
      <w:r w:rsidRPr="001A41C2">
        <w:rPr>
          <w:rFonts w:ascii="Verdana" w:hAnsi="Verdana" w:cs="Arial"/>
          <w:sz w:val="20"/>
          <w:szCs w:val="20"/>
          <w:lang w:val="es-ES"/>
        </w:rPr>
        <w:t>La gestión del riesgo ambiental y social, incluido el climático, en las operaciones de crédito debe ser coherente con el perfil y marco de apetito de riesgo de la entidad, el plan de negocio, y la naturaleza, tamaño, complejidad y diversidad de sus actividades.</w:t>
      </w:r>
    </w:p>
    <w:p w14:paraId="25E19C0A"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74E441CD" w14:textId="2D3127DD" w:rsidR="001A41C2" w:rsidRDefault="001A41C2" w:rsidP="001A41C2">
      <w:pPr>
        <w:tabs>
          <w:tab w:val="left" w:pos="426"/>
        </w:tabs>
        <w:spacing w:after="0" w:line="240" w:lineRule="auto"/>
        <w:jc w:val="both"/>
        <w:rPr>
          <w:rFonts w:ascii="Verdana" w:hAnsi="Verdana"/>
          <w:sz w:val="20"/>
          <w:szCs w:val="20"/>
        </w:rPr>
      </w:pPr>
      <w:r>
        <w:rPr>
          <w:rFonts w:ascii="Verdana" w:hAnsi="Verdana"/>
          <w:sz w:val="20"/>
          <w:szCs w:val="20"/>
        </w:rPr>
        <w:t>1.4.2.5.</w:t>
      </w:r>
    </w:p>
    <w:p w14:paraId="5B2BEF11"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r w:rsidRPr="001A41C2">
        <w:rPr>
          <w:rFonts w:ascii="Verdana" w:hAnsi="Verdana" w:cs="Arial"/>
          <w:sz w:val="20"/>
          <w:szCs w:val="20"/>
          <w:lang w:val="es-ES"/>
        </w:rPr>
        <w:t xml:space="preserve">Por lo tanto, las instrucciones previstas en el Sección II solo aplican a aquellas operaciones crediticias con mayor exposición a estos riesgos, y cuyo impacto potencial sea significativo para la entidad. </w:t>
      </w:r>
    </w:p>
    <w:p w14:paraId="3F7F4B4C" w14:textId="77777777" w:rsidR="001A41C2" w:rsidRPr="001A41C2" w:rsidRDefault="001A41C2" w:rsidP="001A41C2">
      <w:pPr>
        <w:tabs>
          <w:tab w:val="left" w:pos="426"/>
        </w:tabs>
        <w:spacing w:after="0" w:line="240" w:lineRule="auto"/>
        <w:jc w:val="both"/>
        <w:rPr>
          <w:rFonts w:ascii="Verdana" w:hAnsi="Verdana" w:cs="Arial"/>
          <w:b/>
          <w:bCs/>
          <w:sz w:val="20"/>
          <w:szCs w:val="20"/>
          <w:lang w:val="es-ES"/>
        </w:rPr>
      </w:pPr>
    </w:p>
    <w:p w14:paraId="11788093" w14:textId="746B6528" w:rsidR="001A41C2" w:rsidRPr="001A41C2" w:rsidRDefault="001A41C2" w:rsidP="001A41C2">
      <w:pPr>
        <w:tabs>
          <w:tab w:val="left" w:pos="426"/>
        </w:tabs>
        <w:spacing w:after="0" w:line="240" w:lineRule="auto"/>
        <w:jc w:val="both"/>
        <w:rPr>
          <w:rFonts w:ascii="Verdana" w:hAnsi="Verdana" w:cs="Arial"/>
          <w:sz w:val="20"/>
          <w:szCs w:val="20"/>
          <w:lang w:val="es-ES"/>
        </w:rPr>
      </w:pPr>
      <w:r w:rsidRPr="001A41C2">
        <w:rPr>
          <w:rFonts w:ascii="Verdana" w:hAnsi="Verdana" w:cs="Arial"/>
          <w:b/>
          <w:bCs/>
          <w:sz w:val="20"/>
          <w:szCs w:val="20"/>
          <w:lang w:val="es-ES"/>
        </w:rPr>
        <w:t>FILTRO INICIAL</w:t>
      </w:r>
      <w:r w:rsidRPr="001A41C2">
        <w:rPr>
          <w:rFonts w:ascii="Verdana" w:hAnsi="Verdana" w:cs="Arial"/>
          <w:sz w:val="20"/>
          <w:szCs w:val="20"/>
          <w:lang w:val="es-ES"/>
        </w:rPr>
        <w:t xml:space="preserve"> </w:t>
      </w:r>
    </w:p>
    <w:p w14:paraId="56E93256"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4B90401E" w14:textId="17068126" w:rsidR="001A41C2" w:rsidRDefault="001A41C2" w:rsidP="001A41C2">
      <w:pPr>
        <w:tabs>
          <w:tab w:val="left" w:pos="426"/>
        </w:tabs>
        <w:spacing w:after="0" w:line="240" w:lineRule="auto"/>
        <w:jc w:val="both"/>
        <w:rPr>
          <w:rFonts w:ascii="Verdana" w:hAnsi="Verdana"/>
          <w:sz w:val="20"/>
          <w:szCs w:val="20"/>
        </w:rPr>
      </w:pPr>
      <w:r>
        <w:rPr>
          <w:rFonts w:ascii="Verdana" w:hAnsi="Verdana"/>
          <w:sz w:val="20"/>
          <w:szCs w:val="20"/>
        </w:rPr>
        <w:t>1.4.2.6.</w:t>
      </w:r>
    </w:p>
    <w:p w14:paraId="4B3CEA27"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r w:rsidRPr="001A41C2">
        <w:rPr>
          <w:rFonts w:ascii="Verdana" w:hAnsi="Verdana" w:cs="Arial"/>
          <w:sz w:val="20"/>
          <w:szCs w:val="20"/>
          <w:lang w:val="es-ES"/>
        </w:rPr>
        <w:t xml:space="preserve">El filtro inicial es el mecanismo mediante el cual las entidades determinan la aplicabilidad de las disposiciones previstas en la Sección II del presente Capítulo, exclusivamente respecto de aquellas operaciones de crédito que cumplan con los criterios de </w:t>
      </w:r>
      <w:r w:rsidRPr="001A41C2">
        <w:rPr>
          <w:rFonts w:ascii="Verdana" w:hAnsi="Verdana" w:cs="Arial"/>
          <w:sz w:val="20"/>
          <w:szCs w:val="20"/>
          <w:lang w:val="es-ES"/>
        </w:rPr>
        <w:lastRenderedPageBreak/>
        <w:t>materialidad definidos por cada entidad, considerando su plan de negocio, así como la naturaleza, tamaño, complejidad y diversidad de sus actividades.</w:t>
      </w:r>
    </w:p>
    <w:p w14:paraId="7AEFBCFF"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4D78662E" w14:textId="04269906" w:rsidR="001A41C2" w:rsidRDefault="001A41C2" w:rsidP="001A41C2">
      <w:pPr>
        <w:tabs>
          <w:tab w:val="left" w:pos="426"/>
        </w:tabs>
        <w:spacing w:after="0" w:line="240" w:lineRule="auto"/>
        <w:jc w:val="both"/>
        <w:rPr>
          <w:rFonts w:ascii="Verdana" w:hAnsi="Verdana"/>
          <w:sz w:val="20"/>
          <w:szCs w:val="20"/>
        </w:rPr>
      </w:pPr>
      <w:r>
        <w:rPr>
          <w:rFonts w:ascii="Verdana" w:hAnsi="Verdana"/>
          <w:sz w:val="20"/>
          <w:szCs w:val="20"/>
        </w:rPr>
        <w:t>1.4.2.7.</w:t>
      </w:r>
    </w:p>
    <w:p w14:paraId="5A3272E1"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r w:rsidRPr="001A41C2">
        <w:rPr>
          <w:rFonts w:ascii="Verdana" w:hAnsi="Verdana" w:cs="Arial"/>
          <w:sz w:val="20"/>
          <w:szCs w:val="20"/>
          <w:lang w:val="es-ES"/>
        </w:rPr>
        <w:t xml:space="preserve">En desarrollo de lo anterior, las entidades deben definir el filtro inicial a partir de los siguientes criterios, los cuales aplicaran de forma individual o conjunta, según lo determine cada entidad: </w:t>
      </w:r>
    </w:p>
    <w:p w14:paraId="5C6DFF79"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02EEA7B7" w14:textId="34758AEE" w:rsidR="001A41C2" w:rsidRPr="001A41C2" w:rsidRDefault="001A41C2" w:rsidP="00801A7A">
      <w:pPr>
        <w:pStyle w:val="Prrafodelista"/>
        <w:numPr>
          <w:ilvl w:val="0"/>
          <w:numId w:val="16"/>
        </w:numPr>
        <w:tabs>
          <w:tab w:val="left" w:pos="567"/>
        </w:tabs>
        <w:spacing w:after="0" w:line="240" w:lineRule="auto"/>
        <w:ind w:left="567" w:hanging="567"/>
        <w:jc w:val="both"/>
        <w:rPr>
          <w:rFonts w:ascii="Verdana" w:hAnsi="Verdana" w:cs="Arial"/>
          <w:sz w:val="20"/>
          <w:szCs w:val="20"/>
          <w:lang w:val="es-ES"/>
        </w:rPr>
      </w:pPr>
      <w:r w:rsidRPr="001A41C2">
        <w:rPr>
          <w:rFonts w:ascii="Verdana" w:hAnsi="Verdana" w:cs="Arial"/>
          <w:sz w:val="20"/>
          <w:szCs w:val="20"/>
          <w:lang w:val="es-ES"/>
        </w:rPr>
        <w:t xml:space="preserve">Naturaleza del producto o servicio: las entidades deben establecer los productos y servicios que, por su naturaleza, están dirigidos a clientes, usuarios, territorios o sectores económicos con baja exposición a los riesgos ambientales y sociales, incluidos los climáticos, y, por lo tanto, no requerirán la aplicación de las fases previstas </w:t>
      </w:r>
      <w:r w:rsidR="00010A68">
        <w:rPr>
          <w:rFonts w:ascii="Verdana" w:hAnsi="Verdana" w:cs="Arial"/>
          <w:sz w:val="20"/>
          <w:szCs w:val="20"/>
          <w:lang w:val="es-ES"/>
        </w:rPr>
        <w:t xml:space="preserve">en los párrafos </w:t>
      </w:r>
      <w:r w:rsidR="00010A68" w:rsidRPr="00010A68">
        <w:rPr>
          <w:rFonts w:ascii="Verdana" w:hAnsi="Verdana" w:cs="Arial"/>
          <w:sz w:val="20"/>
          <w:szCs w:val="20"/>
          <w:lang w:val="es-ES"/>
        </w:rPr>
        <w:t>1.4.2.9.</w:t>
      </w:r>
      <w:r w:rsidR="00010A68">
        <w:rPr>
          <w:rFonts w:ascii="Verdana" w:hAnsi="Verdana" w:cs="Arial"/>
          <w:sz w:val="20"/>
          <w:szCs w:val="20"/>
          <w:lang w:val="es-ES"/>
        </w:rPr>
        <w:t xml:space="preserve"> a </w:t>
      </w:r>
      <w:r w:rsidR="0059043C">
        <w:rPr>
          <w:rFonts w:ascii="Verdana" w:hAnsi="Verdana" w:cs="Arial"/>
          <w:sz w:val="20"/>
          <w:szCs w:val="20"/>
          <w:lang w:val="es-ES"/>
        </w:rPr>
        <w:t xml:space="preserve">1.4.2.15. </w:t>
      </w:r>
      <w:r w:rsidRPr="001A41C2">
        <w:rPr>
          <w:rFonts w:ascii="Verdana" w:hAnsi="Verdana" w:cs="Arial"/>
          <w:sz w:val="20"/>
          <w:szCs w:val="20"/>
          <w:lang w:val="es-ES"/>
        </w:rPr>
        <w:t>de</w:t>
      </w:r>
      <w:r w:rsidR="0059043C">
        <w:rPr>
          <w:rFonts w:ascii="Verdana" w:hAnsi="Verdana" w:cs="Arial"/>
          <w:sz w:val="20"/>
          <w:szCs w:val="20"/>
          <w:lang w:val="es-ES"/>
        </w:rPr>
        <w:t xml:space="preserve"> la </w:t>
      </w:r>
      <w:r w:rsidRPr="001A41C2">
        <w:rPr>
          <w:rFonts w:ascii="Verdana" w:hAnsi="Verdana" w:cs="Arial"/>
          <w:sz w:val="20"/>
          <w:szCs w:val="20"/>
          <w:lang w:val="es-ES"/>
        </w:rPr>
        <w:t xml:space="preserve">presente </w:t>
      </w:r>
      <w:r w:rsidR="0059043C">
        <w:rPr>
          <w:rFonts w:ascii="Verdana" w:hAnsi="Verdana" w:cs="Arial"/>
          <w:sz w:val="20"/>
          <w:szCs w:val="20"/>
          <w:lang w:val="es-ES"/>
        </w:rPr>
        <w:t>sección</w:t>
      </w:r>
      <w:r w:rsidRPr="001A41C2">
        <w:rPr>
          <w:rFonts w:ascii="Verdana" w:hAnsi="Verdana" w:cs="Arial"/>
          <w:sz w:val="20"/>
          <w:szCs w:val="20"/>
          <w:lang w:val="es-ES"/>
        </w:rPr>
        <w:t xml:space="preserve">. </w:t>
      </w:r>
    </w:p>
    <w:p w14:paraId="18A4DA65" w14:textId="77777777" w:rsidR="001A41C2" w:rsidRPr="001A41C2" w:rsidRDefault="001A41C2" w:rsidP="00801A7A">
      <w:pPr>
        <w:tabs>
          <w:tab w:val="left" w:pos="567"/>
        </w:tabs>
        <w:spacing w:after="0" w:line="240" w:lineRule="auto"/>
        <w:ind w:left="567" w:hanging="567"/>
        <w:jc w:val="both"/>
        <w:rPr>
          <w:rFonts w:ascii="Verdana" w:hAnsi="Verdana" w:cs="Arial"/>
          <w:sz w:val="20"/>
          <w:szCs w:val="20"/>
          <w:lang w:val="es-ES"/>
        </w:rPr>
      </w:pPr>
    </w:p>
    <w:p w14:paraId="075B100A" w14:textId="7061D1D6" w:rsidR="001A41C2" w:rsidRPr="001A41C2" w:rsidRDefault="001A41C2" w:rsidP="00801A7A">
      <w:pPr>
        <w:pStyle w:val="Prrafodelista"/>
        <w:numPr>
          <w:ilvl w:val="0"/>
          <w:numId w:val="16"/>
        </w:numPr>
        <w:tabs>
          <w:tab w:val="left" w:pos="567"/>
        </w:tabs>
        <w:spacing w:after="0" w:line="240" w:lineRule="auto"/>
        <w:ind w:left="567" w:hanging="567"/>
        <w:jc w:val="both"/>
        <w:rPr>
          <w:rFonts w:ascii="Verdana" w:hAnsi="Verdana" w:cs="Arial"/>
          <w:sz w:val="20"/>
          <w:szCs w:val="20"/>
          <w:lang w:val="es-ES"/>
        </w:rPr>
      </w:pPr>
      <w:r w:rsidRPr="001A41C2">
        <w:rPr>
          <w:rFonts w:ascii="Verdana" w:hAnsi="Verdana" w:cs="Arial"/>
          <w:sz w:val="20"/>
          <w:szCs w:val="20"/>
          <w:lang w:val="es-ES"/>
        </w:rPr>
        <w:t xml:space="preserve">La definición de un monto o umbral: las operaciones crediticias cuyo valor a financiar se encuentre por debajo del umbral definido por la respectiva entidad no deberán surtir las fases previstas </w:t>
      </w:r>
      <w:r w:rsidR="0059043C">
        <w:rPr>
          <w:rFonts w:ascii="Verdana" w:hAnsi="Verdana" w:cs="Arial"/>
          <w:sz w:val="20"/>
          <w:szCs w:val="20"/>
          <w:lang w:val="es-ES"/>
        </w:rPr>
        <w:t xml:space="preserve">en los párrafos </w:t>
      </w:r>
      <w:r w:rsidR="0059043C" w:rsidRPr="00010A68">
        <w:rPr>
          <w:rFonts w:ascii="Verdana" w:hAnsi="Verdana" w:cs="Arial"/>
          <w:sz w:val="20"/>
          <w:szCs w:val="20"/>
          <w:lang w:val="es-ES"/>
        </w:rPr>
        <w:t>1.4.2.9.</w:t>
      </w:r>
      <w:r w:rsidR="0059043C">
        <w:rPr>
          <w:rFonts w:ascii="Verdana" w:hAnsi="Verdana" w:cs="Arial"/>
          <w:sz w:val="20"/>
          <w:szCs w:val="20"/>
          <w:lang w:val="es-ES"/>
        </w:rPr>
        <w:t xml:space="preserve"> a 1.4.2.15. </w:t>
      </w:r>
      <w:r w:rsidR="0059043C" w:rsidRPr="001A41C2">
        <w:rPr>
          <w:rFonts w:ascii="Verdana" w:hAnsi="Verdana" w:cs="Arial"/>
          <w:sz w:val="20"/>
          <w:szCs w:val="20"/>
          <w:lang w:val="es-ES"/>
        </w:rPr>
        <w:t>de</w:t>
      </w:r>
      <w:r w:rsidR="0059043C">
        <w:rPr>
          <w:rFonts w:ascii="Verdana" w:hAnsi="Verdana" w:cs="Arial"/>
          <w:sz w:val="20"/>
          <w:szCs w:val="20"/>
          <w:lang w:val="es-ES"/>
        </w:rPr>
        <w:t xml:space="preserve"> la </w:t>
      </w:r>
      <w:r w:rsidR="0059043C" w:rsidRPr="001A41C2">
        <w:rPr>
          <w:rFonts w:ascii="Verdana" w:hAnsi="Verdana" w:cs="Arial"/>
          <w:sz w:val="20"/>
          <w:szCs w:val="20"/>
          <w:lang w:val="es-ES"/>
        </w:rPr>
        <w:t xml:space="preserve">presente </w:t>
      </w:r>
      <w:r w:rsidR="0059043C">
        <w:rPr>
          <w:rFonts w:ascii="Verdana" w:hAnsi="Verdana" w:cs="Arial"/>
          <w:sz w:val="20"/>
          <w:szCs w:val="20"/>
          <w:lang w:val="es-ES"/>
        </w:rPr>
        <w:t>sección</w:t>
      </w:r>
      <w:r w:rsidRPr="001A41C2">
        <w:rPr>
          <w:rFonts w:ascii="Verdana" w:hAnsi="Verdana" w:cs="Arial"/>
          <w:sz w:val="20"/>
          <w:szCs w:val="20"/>
          <w:lang w:val="es-ES"/>
        </w:rPr>
        <w:t xml:space="preserve">. Las entidades deben definir el monto o umbral en atención al principio de proporcionalidad previsto en </w:t>
      </w:r>
      <w:r w:rsidR="0059043C">
        <w:rPr>
          <w:rFonts w:ascii="Verdana" w:hAnsi="Verdana" w:cs="Arial"/>
          <w:sz w:val="20"/>
          <w:szCs w:val="20"/>
          <w:lang w:val="es-ES"/>
        </w:rPr>
        <w:t>los párrafos 1.4.2.4. y 1.4.2.5</w:t>
      </w:r>
      <w:r w:rsidR="00457655">
        <w:rPr>
          <w:rFonts w:ascii="Verdana" w:hAnsi="Verdana" w:cs="Arial"/>
          <w:sz w:val="20"/>
          <w:szCs w:val="20"/>
          <w:lang w:val="es-ES"/>
        </w:rPr>
        <w:t>. de la presente sección</w:t>
      </w:r>
      <w:r w:rsidRPr="001A41C2">
        <w:rPr>
          <w:rFonts w:ascii="Verdana" w:hAnsi="Verdana" w:cs="Arial"/>
          <w:sz w:val="20"/>
          <w:szCs w:val="20"/>
          <w:lang w:val="es-ES"/>
        </w:rPr>
        <w:t xml:space="preserve">. </w:t>
      </w:r>
    </w:p>
    <w:p w14:paraId="4B8314B7" w14:textId="77777777" w:rsidR="001A41C2" w:rsidRPr="001A41C2" w:rsidRDefault="001A41C2" w:rsidP="00801A7A">
      <w:pPr>
        <w:tabs>
          <w:tab w:val="left" w:pos="567"/>
        </w:tabs>
        <w:spacing w:after="0" w:line="240" w:lineRule="auto"/>
        <w:ind w:left="567" w:hanging="567"/>
        <w:jc w:val="both"/>
        <w:rPr>
          <w:rFonts w:ascii="Verdana" w:hAnsi="Verdana" w:cs="Arial"/>
          <w:sz w:val="20"/>
          <w:szCs w:val="20"/>
          <w:lang w:val="es-ES"/>
        </w:rPr>
      </w:pPr>
    </w:p>
    <w:p w14:paraId="35A0B179" w14:textId="13DB0B25" w:rsidR="00A819AE" w:rsidRDefault="001A41C2" w:rsidP="00801A7A">
      <w:pPr>
        <w:pStyle w:val="Prrafodelista"/>
        <w:numPr>
          <w:ilvl w:val="0"/>
          <w:numId w:val="16"/>
        </w:numPr>
        <w:tabs>
          <w:tab w:val="left" w:pos="567"/>
        </w:tabs>
        <w:spacing w:after="0" w:line="240" w:lineRule="auto"/>
        <w:ind w:left="567" w:hanging="567"/>
        <w:jc w:val="both"/>
        <w:rPr>
          <w:rFonts w:ascii="Verdana" w:hAnsi="Verdana" w:cs="Arial"/>
          <w:sz w:val="20"/>
          <w:szCs w:val="20"/>
          <w:lang w:val="es-ES"/>
        </w:rPr>
      </w:pPr>
      <w:r w:rsidRPr="001A41C2">
        <w:rPr>
          <w:rFonts w:ascii="Verdana" w:hAnsi="Verdana" w:cs="Arial"/>
          <w:sz w:val="20"/>
          <w:szCs w:val="20"/>
          <w:lang w:val="es-ES"/>
        </w:rPr>
        <w:t xml:space="preserve">Cumplimiento de objetivos ambientales, sociales o climáticos definidos por la entidad: las operaciones de microcrédito dirigidas principalmente al cumplimiento de objetivos ambientales, sociales o climáticos definidos por la entidad no requerirán la aplicación de las fases previstas </w:t>
      </w:r>
      <w:r w:rsidR="0059043C">
        <w:rPr>
          <w:rFonts w:ascii="Verdana" w:hAnsi="Verdana" w:cs="Arial"/>
          <w:sz w:val="20"/>
          <w:szCs w:val="20"/>
          <w:lang w:val="es-ES"/>
        </w:rPr>
        <w:t xml:space="preserve">en los párrafos </w:t>
      </w:r>
      <w:r w:rsidR="0059043C" w:rsidRPr="00010A68">
        <w:rPr>
          <w:rFonts w:ascii="Verdana" w:hAnsi="Verdana" w:cs="Arial"/>
          <w:sz w:val="20"/>
          <w:szCs w:val="20"/>
          <w:lang w:val="es-ES"/>
        </w:rPr>
        <w:t>1.4.2.9.</w:t>
      </w:r>
      <w:r w:rsidR="0059043C">
        <w:rPr>
          <w:rFonts w:ascii="Verdana" w:hAnsi="Verdana" w:cs="Arial"/>
          <w:sz w:val="20"/>
          <w:szCs w:val="20"/>
          <w:lang w:val="es-ES"/>
        </w:rPr>
        <w:t xml:space="preserve"> a 1.4.2.15. </w:t>
      </w:r>
      <w:r w:rsidR="0059043C" w:rsidRPr="001A41C2">
        <w:rPr>
          <w:rFonts w:ascii="Verdana" w:hAnsi="Verdana" w:cs="Arial"/>
          <w:sz w:val="20"/>
          <w:szCs w:val="20"/>
          <w:lang w:val="es-ES"/>
        </w:rPr>
        <w:t>de</w:t>
      </w:r>
      <w:r w:rsidR="0059043C">
        <w:rPr>
          <w:rFonts w:ascii="Verdana" w:hAnsi="Verdana" w:cs="Arial"/>
          <w:sz w:val="20"/>
          <w:szCs w:val="20"/>
          <w:lang w:val="es-ES"/>
        </w:rPr>
        <w:t xml:space="preserve"> la </w:t>
      </w:r>
      <w:r w:rsidR="0059043C" w:rsidRPr="001A41C2">
        <w:rPr>
          <w:rFonts w:ascii="Verdana" w:hAnsi="Verdana" w:cs="Arial"/>
          <w:sz w:val="20"/>
          <w:szCs w:val="20"/>
          <w:lang w:val="es-ES"/>
        </w:rPr>
        <w:t xml:space="preserve">presente </w:t>
      </w:r>
      <w:r w:rsidR="0059043C">
        <w:rPr>
          <w:rFonts w:ascii="Verdana" w:hAnsi="Verdana" w:cs="Arial"/>
          <w:sz w:val="20"/>
          <w:szCs w:val="20"/>
          <w:lang w:val="es-ES"/>
        </w:rPr>
        <w:t>sección</w:t>
      </w:r>
      <w:r w:rsidRPr="001A41C2">
        <w:rPr>
          <w:rFonts w:ascii="Verdana" w:hAnsi="Verdana" w:cs="Arial"/>
          <w:sz w:val="20"/>
          <w:szCs w:val="20"/>
          <w:lang w:val="es-ES"/>
        </w:rPr>
        <w:t xml:space="preserve">. </w:t>
      </w:r>
      <w:r w:rsidRPr="00A819AE">
        <w:rPr>
          <w:rFonts w:ascii="Verdana" w:hAnsi="Verdana" w:cs="Arial"/>
          <w:sz w:val="20"/>
          <w:szCs w:val="20"/>
          <w:lang w:val="es-ES"/>
        </w:rPr>
        <w:t>Para el efecto, los objetivos ambientales, sociales o climáticos definidos por la entidad deben estar alineados con alguno de los siguientes marcos de referencia: (i) los Objetivos de Desarrollo Sostenible (ODS) de las Naciones Unidas; (ii) la Taxonomía Verde de Colombia; (iii) los objetivos de sistemas de clasificación o taxonomías reconocidas internacionalmente; o (iv) estándares, normas, políticas públicas nacionales e internacionales o compromisos internacionales suscritos por el país en materia ambiental, social o climática.</w:t>
      </w:r>
    </w:p>
    <w:p w14:paraId="57AF7802" w14:textId="77777777" w:rsidR="00A819AE" w:rsidRDefault="00A819AE" w:rsidP="00801A7A">
      <w:pPr>
        <w:pStyle w:val="Prrafodelista"/>
        <w:tabs>
          <w:tab w:val="left" w:pos="567"/>
        </w:tabs>
        <w:spacing w:after="0" w:line="240" w:lineRule="auto"/>
        <w:ind w:left="567" w:hanging="567"/>
        <w:jc w:val="both"/>
        <w:rPr>
          <w:rFonts w:ascii="Verdana" w:hAnsi="Verdana" w:cs="Arial"/>
          <w:sz w:val="20"/>
          <w:szCs w:val="20"/>
          <w:lang w:val="es-ES"/>
        </w:rPr>
      </w:pPr>
    </w:p>
    <w:p w14:paraId="2AD8B0D0" w14:textId="7F5D946B" w:rsidR="001A41C2" w:rsidRPr="00A819AE" w:rsidRDefault="001A41C2" w:rsidP="00801A7A">
      <w:pPr>
        <w:pStyle w:val="Prrafodelista"/>
        <w:numPr>
          <w:ilvl w:val="0"/>
          <w:numId w:val="16"/>
        </w:numPr>
        <w:tabs>
          <w:tab w:val="left" w:pos="567"/>
        </w:tabs>
        <w:spacing w:after="0" w:line="240" w:lineRule="auto"/>
        <w:ind w:left="567" w:hanging="567"/>
        <w:jc w:val="both"/>
        <w:rPr>
          <w:rFonts w:ascii="Verdana" w:hAnsi="Verdana" w:cs="Arial"/>
          <w:sz w:val="20"/>
          <w:szCs w:val="20"/>
          <w:lang w:val="es-ES"/>
        </w:rPr>
      </w:pPr>
      <w:r w:rsidRPr="00A819AE">
        <w:rPr>
          <w:rFonts w:ascii="Verdana" w:hAnsi="Verdana" w:cs="Arial"/>
          <w:sz w:val="20"/>
          <w:szCs w:val="20"/>
          <w:lang w:val="es-ES"/>
        </w:rPr>
        <w:t xml:space="preserve">Demás condiciones particulares definidas por cada entidad: las entidades deben establecer los criterios adicionales que se ajusten a su modelo de negocio y apetito de riesgo, de forma que se focalice el análisis de los riesgos ambientales y sociales, incluidos los climáticos, en aquellas operaciones de crédito que son materiales para la entidad o que pueden generar externalidades y/o impactos significativos o materiales en términos ambientales, sociales o climáticos. En consecuencia, las entidades deben excluir de la aplicación de las fases previstas </w:t>
      </w:r>
      <w:r w:rsidR="0059043C">
        <w:rPr>
          <w:rFonts w:ascii="Verdana" w:hAnsi="Verdana" w:cs="Arial"/>
          <w:sz w:val="20"/>
          <w:szCs w:val="20"/>
          <w:lang w:val="es-ES"/>
        </w:rPr>
        <w:t xml:space="preserve">en los párrafos </w:t>
      </w:r>
      <w:r w:rsidR="0059043C" w:rsidRPr="00010A68">
        <w:rPr>
          <w:rFonts w:ascii="Verdana" w:hAnsi="Verdana" w:cs="Arial"/>
          <w:sz w:val="20"/>
          <w:szCs w:val="20"/>
          <w:lang w:val="es-ES"/>
        </w:rPr>
        <w:t>1.4.2.9.</w:t>
      </w:r>
      <w:r w:rsidR="0059043C">
        <w:rPr>
          <w:rFonts w:ascii="Verdana" w:hAnsi="Verdana" w:cs="Arial"/>
          <w:sz w:val="20"/>
          <w:szCs w:val="20"/>
          <w:lang w:val="es-ES"/>
        </w:rPr>
        <w:t xml:space="preserve"> a 1.4.2.15. </w:t>
      </w:r>
      <w:r w:rsidR="0059043C" w:rsidRPr="001A41C2">
        <w:rPr>
          <w:rFonts w:ascii="Verdana" w:hAnsi="Verdana" w:cs="Arial"/>
          <w:sz w:val="20"/>
          <w:szCs w:val="20"/>
          <w:lang w:val="es-ES"/>
        </w:rPr>
        <w:t>de</w:t>
      </w:r>
      <w:r w:rsidR="0059043C">
        <w:rPr>
          <w:rFonts w:ascii="Verdana" w:hAnsi="Verdana" w:cs="Arial"/>
          <w:sz w:val="20"/>
          <w:szCs w:val="20"/>
          <w:lang w:val="es-ES"/>
        </w:rPr>
        <w:t xml:space="preserve"> la </w:t>
      </w:r>
      <w:r w:rsidR="0059043C" w:rsidRPr="001A41C2">
        <w:rPr>
          <w:rFonts w:ascii="Verdana" w:hAnsi="Verdana" w:cs="Arial"/>
          <w:sz w:val="20"/>
          <w:szCs w:val="20"/>
          <w:lang w:val="es-ES"/>
        </w:rPr>
        <w:t xml:space="preserve">presente </w:t>
      </w:r>
      <w:r w:rsidR="0059043C">
        <w:rPr>
          <w:rFonts w:ascii="Verdana" w:hAnsi="Verdana" w:cs="Arial"/>
          <w:sz w:val="20"/>
          <w:szCs w:val="20"/>
          <w:lang w:val="es-ES"/>
        </w:rPr>
        <w:t>sección</w:t>
      </w:r>
      <w:r w:rsidR="0059043C" w:rsidRPr="00A819AE">
        <w:rPr>
          <w:rFonts w:ascii="Verdana" w:hAnsi="Verdana" w:cs="Arial"/>
          <w:sz w:val="20"/>
          <w:szCs w:val="20"/>
          <w:lang w:val="es-ES"/>
        </w:rPr>
        <w:t xml:space="preserve"> </w:t>
      </w:r>
      <w:r w:rsidRPr="00A819AE">
        <w:rPr>
          <w:rFonts w:ascii="Verdana" w:hAnsi="Verdana" w:cs="Arial"/>
          <w:sz w:val="20"/>
          <w:szCs w:val="20"/>
          <w:lang w:val="es-ES"/>
        </w:rPr>
        <w:t>a aquellas operaciones que no resulten materiales para efectos de los riesgos ambientales y sociales, incluidos los climáticos.</w:t>
      </w:r>
    </w:p>
    <w:p w14:paraId="5603E42B"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019BDA71" w14:textId="3FAD8298" w:rsidR="00A819AE" w:rsidRDefault="00A819AE" w:rsidP="00A819AE">
      <w:pPr>
        <w:tabs>
          <w:tab w:val="left" w:pos="426"/>
        </w:tabs>
        <w:spacing w:after="0" w:line="240" w:lineRule="auto"/>
        <w:jc w:val="both"/>
        <w:rPr>
          <w:rFonts w:ascii="Verdana" w:hAnsi="Verdana"/>
          <w:sz w:val="20"/>
          <w:szCs w:val="20"/>
        </w:rPr>
      </w:pPr>
      <w:r>
        <w:rPr>
          <w:rFonts w:ascii="Verdana" w:hAnsi="Verdana"/>
          <w:sz w:val="20"/>
          <w:szCs w:val="20"/>
        </w:rPr>
        <w:t>1.4.2.8.</w:t>
      </w:r>
    </w:p>
    <w:p w14:paraId="6E551FD5"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r w:rsidRPr="001A41C2">
        <w:rPr>
          <w:rFonts w:ascii="Verdana" w:hAnsi="Verdana" w:cs="Arial"/>
          <w:sz w:val="20"/>
          <w:szCs w:val="20"/>
          <w:lang w:val="es-ES"/>
        </w:rPr>
        <w:t>La definición del referido filtro inicial debe estar documentada y a disposición de la SFC.</w:t>
      </w:r>
    </w:p>
    <w:p w14:paraId="52B322E4"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3D4E700D" w14:textId="38101C6F" w:rsidR="001A41C2" w:rsidRPr="00A819AE" w:rsidRDefault="00A819AE" w:rsidP="001A41C2">
      <w:pPr>
        <w:tabs>
          <w:tab w:val="left" w:pos="426"/>
        </w:tabs>
        <w:spacing w:after="0" w:line="240" w:lineRule="auto"/>
        <w:jc w:val="both"/>
        <w:rPr>
          <w:rFonts w:ascii="Verdana" w:hAnsi="Verdana" w:cs="Arial"/>
          <w:b/>
          <w:bCs/>
          <w:sz w:val="20"/>
          <w:szCs w:val="20"/>
          <w:lang w:val="es-ES"/>
        </w:rPr>
      </w:pPr>
      <w:r w:rsidRPr="00A819AE">
        <w:rPr>
          <w:rFonts w:ascii="Verdana" w:hAnsi="Verdana" w:cs="Arial"/>
          <w:b/>
          <w:bCs/>
          <w:sz w:val="20"/>
          <w:szCs w:val="20"/>
          <w:lang w:val="es-ES"/>
        </w:rPr>
        <w:t>FASES DE LA GESTIÓN DEL RIESGO AMBIENTAL Y SOCIAL, INCLUIDO EL CLIMÁTICO, EN LAS OPERACIONES DE CRÉDITO</w:t>
      </w:r>
    </w:p>
    <w:p w14:paraId="052D79CB"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20CB58B8" w14:textId="77F4C787" w:rsidR="00A819AE" w:rsidRDefault="00A819AE" w:rsidP="00A819AE">
      <w:pPr>
        <w:tabs>
          <w:tab w:val="left" w:pos="426"/>
        </w:tabs>
        <w:spacing w:after="0" w:line="240" w:lineRule="auto"/>
        <w:jc w:val="both"/>
        <w:rPr>
          <w:rFonts w:ascii="Verdana" w:hAnsi="Verdana"/>
          <w:sz w:val="20"/>
          <w:szCs w:val="20"/>
        </w:rPr>
      </w:pPr>
      <w:r>
        <w:rPr>
          <w:rFonts w:ascii="Verdana" w:hAnsi="Verdana"/>
          <w:sz w:val="20"/>
          <w:szCs w:val="20"/>
        </w:rPr>
        <w:t>1.4.2.9.</w:t>
      </w:r>
    </w:p>
    <w:p w14:paraId="3CA616C5" w14:textId="0BAF7E04" w:rsidR="001A41C2" w:rsidRPr="001A41C2" w:rsidRDefault="001A41C2" w:rsidP="001A41C2">
      <w:pPr>
        <w:tabs>
          <w:tab w:val="left" w:pos="426"/>
        </w:tabs>
        <w:spacing w:after="0" w:line="240" w:lineRule="auto"/>
        <w:jc w:val="both"/>
        <w:rPr>
          <w:rFonts w:ascii="Verdana" w:hAnsi="Verdana" w:cs="Arial"/>
          <w:sz w:val="20"/>
          <w:szCs w:val="20"/>
          <w:lang w:val="es-ES"/>
        </w:rPr>
      </w:pPr>
      <w:r w:rsidRPr="001A41C2">
        <w:rPr>
          <w:rFonts w:ascii="Verdana" w:hAnsi="Verdana" w:cs="Arial"/>
          <w:sz w:val="20"/>
          <w:szCs w:val="20"/>
          <w:lang w:val="es-ES"/>
        </w:rPr>
        <w:t xml:space="preserve">En el marco de las políticas y procedimientos definidos por cada entidad, las entidades sólo deben gestionar el riesgo ambiental y social, incluido el climático, en las operaciones crediticias que superen el filtro inicial definido por la entidad de acuerdo con </w:t>
      </w:r>
      <w:r w:rsidR="00B14075">
        <w:rPr>
          <w:rFonts w:ascii="Verdana" w:hAnsi="Verdana" w:cs="Arial"/>
          <w:sz w:val="20"/>
          <w:szCs w:val="20"/>
          <w:lang w:val="es-ES"/>
        </w:rPr>
        <w:t xml:space="preserve">los párrafos 1.4.2.6., 1.4.2.7. y 1.4.2.8. de la presente sección. </w:t>
      </w:r>
    </w:p>
    <w:p w14:paraId="4AC45BFB"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6A0992E8" w14:textId="04977F5B" w:rsidR="001A41C2" w:rsidRPr="00A819AE" w:rsidRDefault="001A41C2" w:rsidP="001A41C2">
      <w:pPr>
        <w:tabs>
          <w:tab w:val="left" w:pos="426"/>
        </w:tabs>
        <w:spacing w:after="0" w:line="240" w:lineRule="auto"/>
        <w:jc w:val="both"/>
        <w:rPr>
          <w:rFonts w:ascii="Verdana" w:hAnsi="Verdana" w:cs="Arial"/>
          <w:b/>
          <w:bCs/>
          <w:sz w:val="20"/>
          <w:szCs w:val="20"/>
          <w:lang w:val="es-ES"/>
        </w:rPr>
      </w:pPr>
      <w:r w:rsidRPr="00A819AE">
        <w:rPr>
          <w:rFonts w:ascii="Verdana" w:hAnsi="Verdana" w:cs="Arial"/>
          <w:b/>
          <w:bCs/>
          <w:sz w:val="20"/>
          <w:szCs w:val="20"/>
          <w:lang w:val="es-ES"/>
        </w:rPr>
        <w:t>Categorización de riesgos ambientales y sociales, incluidos los climáticos</w:t>
      </w:r>
    </w:p>
    <w:p w14:paraId="0C55CF9C"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42FD7C88" w14:textId="23EC4D4F" w:rsidR="00A819AE" w:rsidRDefault="00A819AE" w:rsidP="00A819AE">
      <w:pPr>
        <w:tabs>
          <w:tab w:val="left" w:pos="426"/>
        </w:tabs>
        <w:spacing w:after="0" w:line="240" w:lineRule="auto"/>
        <w:jc w:val="both"/>
        <w:rPr>
          <w:rFonts w:ascii="Verdana" w:hAnsi="Verdana"/>
          <w:sz w:val="20"/>
          <w:szCs w:val="20"/>
        </w:rPr>
      </w:pPr>
      <w:r>
        <w:rPr>
          <w:rFonts w:ascii="Verdana" w:hAnsi="Verdana"/>
          <w:sz w:val="20"/>
          <w:szCs w:val="20"/>
        </w:rPr>
        <w:t>1.4.2.10.</w:t>
      </w:r>
    </w:p>
    <w:p w14:paraId="530A5AC7"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r w:rsidRPr="001A41C2">
        <w:rPr>
          <w:rFonts w:ascii="Verdana" w:hAnsi="Verdana" w:cs="Arial"/>
          <w:sz w:val="20"/>
          <w:szCs w:val="20"/>
          <w:lang w:val="es-ES"/>
        </w:rPr>
        <w:t xml:space="preserve">Únicamente para los efectos de la gestión de riesgos, las entidades deben categorizar las operaciones crediticias que superen el filtro inicial, de acuerdo con su impacto y/o riesgo ambiental o social, incluido el climático. Para lo anterior, las entidades deben categorizar las operaciones de crédito en tres posibles niveles de riesgo: alto, medio o bajo. </w:t>
      </w:r>
    </w:p>
    <w:p w14:paraId="4F496C98"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4ED7D710" w14:textId="5C5A9FD3" w:rsidR="001A41C2" w:rsidRPr="00A819AE" w:rsidRDefault="001A41C2" w:rsidP="00801A7A">
      <w:pPr>
        <w:pStyle w:val="Prrafodelista"/>
        <w:numPr>
          <w:ilvl w:val="0"/>
          <w:numId w:val="18"/>
        </w:numPr>
        <w:tabs>
          <w:tab w:val="left" w:pos="567"/>
        </w:tabs>
        <w:spacing w:after="0" w:line="240" w:lineRule="auto"/>
        <w:ind w:left="567" w:hanging="567"/>
        <w:jc w:val="both"/>
        <w:rPr>
          <w:rFonts w:ascii="Verdana" w:hAnsi="Verdana" w:cs="Arial"/>
          <w:sz w:val="20"/>
          <w:szCs w:val="20"/>
          <w:lang w:val="es-ES"/>
        </w:rPr>
      </w:pPr>
      <w:r w:rsidRPr="00A819AE">
        <w:rPr>
          <w:rFonts w:ascii="Verdana" w:hAnsi="Verdana" w:cs="Arial"/>
          <w:sz w:val="20"/>
          <w:szCs w:val="20"/>
          <w:lang w:val="es-ES"/>
        </w:rPr>
        <w:t xml:space="preserve">Nivel de riesgo alto: corresponde a aquellas operaciones de crédito destinadas a financiar actividades económicas que son susceptibles de enfrentar, o pueden generar, potenciales externalidades y/o impactos significativos ambientales, sociales o climáticos, diversos, irreversibles o sin precedentes, incluyendo impactos y/o riesgos que se extienden más allá del área física de la actividad económica y que son difíciles de mitigar. </w:t>
      </w:r>
    </w:p>
    <w:p w14:paraId="49626478" w14:textId="77777777" w:rsidR="001A41C2" w:rsidRPr="001A41C2" w:rsidRDefault="001A41C2" w:rsidP="00801A7A">
      <w:pPr>
        <w:tabs>
          <w:tab w:val="left" w:pos="567"/>
        </w:tabs>
        <w:spacing w:after="0" w:line="240" w:lineRule="auto"/>
        <w:ind w:left="567" w:hanging="567"/>
        <w:jc w:val="both"/>
        <w:rPr>
          <w:rFonts w:ascii="Verdana" w:hAnsi="Verdana" w:cs="Arial"/>
          <w:sz w:val="20"/>
          <w:szCs w:val="20"/>
          <w:lang w:val="es-ES"/>
        </w:rPr>
      </w:pPr>
    </w:p>
    <w:p w14:paraId="5EB51966" w14:textId="536FF108" w:rsidR="001A41C2" w:rsidRPr="00A819AE" w:rsidRDefault="001A41C2" w:rsidP="00801A7A">
      <w:pPr>
        <w:pStyle w:val="Prrafodelista"/>
        <w:numPr>
          <w:ilvl w:val="0"/>
          <w:numId w:val="18"/>
        </w:numPr>
        <w:tabs>
          <w:tab w:val="left" w:pos="567"/>
        </w:tabs>
        <w:spacing w:after="0" w:line="240" w:lineRule="auto"/>
        <w:ind w:left="567" w:hanging="567"/>
        <w:jc w:val="both"/>
        <w:rPr>
          <w:rFonts w:ascii="Verdana" w:hAnsi="Verdana" w:cs="Arial"/>
          <w:sz w:val="20"/>
          <w:szCs w:val="20"/>
          <w:lang w:val="es-ES"/>
        </w:rPr>
      </w:pPr>
      <w:r w:rsidRPr="00A819AE">
        <w:rPr>
          <w:rFonts w:ascii="Verdana" w:hAnsi="Verdana" w:cs="Arial"/>
          <w:sz w:val="20"/>
          <w:szCs w:val="20"/>
          <w:lang w:val="es-ES"/>
        </w:rPr>
        <w:t xml:space="preserve">Nivel de riesgo medio: corresponde a aquellas operaciones de crédito destinadas a financiar actividades económicas que son susceptibles de enfrentar, o pueden generar, potenciales externalidades y/o impactos negativos ambientales, sociales o climáticos limitados en un área específica, principalmente reversibles y que se pueden manejar mediante medidas de mitigación. </w:t>
      </w:r>
    </w:p>
    <w:p w14:paraId="649C34AB" w14:textId="77777777" w:rsidR="001A41C2" w:rsidRPr="001A41C2" w:rsidRDefault="001A41C2" w:rsidP="00801A7A">
      <w:pPr>
        <w:tabs>
          <w:tab w:val="left" w:pos="567"/>
        </w:tabs>
        <w:spacing w:after="0" w:line="240" w:lineRule="auto"/>
        <w:ind w:left="567" w:hanging="567"/>
        <w:jc w:val="both"/>
        <w:rPr>
          <w:rFonts w:ascii="Verdana" w:hAnsi="Verdana" w:cs="Arial"/>
          <w:sz w:val="20"/>
          <w:szCs w:val="20"/>
          <w:lang w:val="es-ES"/>
        </w:rPr>
      </w:pPr>
    </w:p>
    <w:p w14:paraId="579D836C" w14:textId="7C41CEB2" w:rsidR="001A41C2" w:rsidRPr="00A819AE" w:rsidRDefault="001A41C2" w:rsidP="00801A7A">
      <w:pPr>
        <w:pStyle w:val="Prrafodelista"/>
        <w:numPr>
          <w:ilvl w:val="0"/>
          <w:numId w:val="18"/>
        </w:numPr>
        <w:tabs>
          <w:tab w:val="left" w:pos="567"/>
        </w:tabs>
        <w:spacing w:after="0" w:line="240" w:lineRule="auto"/>
        <w:ind w:left="567" w:hanging="567"/>
        <w:jc w:val="both"/>
        <w:rPr>
          <w:rFonts w:ascii="Verdana" w:hAnsi="Verdana" w:cs="Arial"/>
          <w:sz w:val="20"/>
          <w:szCs w:val="20"/>
          <w:lang w:val="es-ES"/>
        </w:rPr>
      </w:pPr>
      <w:r w:rsidRPr="00A819AE">
        <w:rPr>
          <w:rFonts w:ascii="Verdana" w:hAnsi="Verdana" w:cs="Arial"/>
          <w:sz w:val="20"/>
          <w:szCs w:val="20"/>
          <w:lang w:val="es-ES"/>
        </w:rPr>
        <w:t xml:space="preserve">Nivel de riesgo bajo: corresponde a aquellas operaciones de crédito destinadas a financiar actividades económicas que son susceptibles de enfrentar, o pueden generar, potenciales impactos negativos ambientales, sociales o climáticos de baja magnitud. </w:t>
      </w:r>
    </w:p>
    <w:p w14:paraId="50C7B760"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5AB95853" w14:textId="135E53C1" w:rsidR="00A819AE" w:rsidRDefault="00A819AE" w:rsidP="00A819AE">
      <w:pPr>
        <w:tabs>
          <w:tab w:val="left" w:pos="426"/>
        </w:tabs>
        <w:spacing w:after="0" w:line="240" w:lineRule="auto"/>
        <w:jc w:val="both"/>
        <w:rPr>
          <w:rFonts w:ascii="Verdana" w:hAnsi="Verdana"/>
          <w:sz w:val="20"/>
          <w:szCs w:val="20"/>
        </w:rPr>
      </w:pPr>
      <w:r>
        <w:rPr>
          <w:rFonts w:ascii="Verdana" w:hAnsi="Verdana"/>
          <w:sz w:val="20"/>
          <w:szCs w:val="20"/>
        </w:rPr>
        <w:t>1.4.2.11.</w:t>
      </w:r>
    </w:p>
    <w:p w14:paraId="18D2C25B"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r w:rsidRPr="001A41C2">
        <w:rPr>
          <w:rFonts w:ascii="Verdana" w:hAnsi="Verdana" w:cs="Arial"/>
          <w:sz w:val="20"/>
          <w:szCs w:val="20"/>
          <w:lang w:val="es-ES"/>
        </w:rPr>
        <w:t>La categorización de una operación crediticia en nivel de riesgo alto sólo tiene efectos para la gestión de los riesgos ambientales y sociales, incluidos los climáticos. En consecuencia, la negativa en la prestación de servicios o productos financieros debe fundamentarse en causas objetivas, de conformidad con lo previsto en el literal (b) del artículo 3 de la Ley 1328 de 2009.</w:t>
      </w:r>
    </w:p>
    <w:p w14:paraId="6876E6C9"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24BFD98A" w14:textId="08759614" w:rsidR="00A819AE" w:rsidRDefault="00A819AE" w:rsidP="00A819AE">
      <w:pPr>
        <w:tabs>
          <w:tab w:val="left" w:pos="426"/>
        </w:tabs>
        <w:spacing w:after="0" w:line="240" w:lineRule="auto"/>
        <w:jc w:val="both"/>
        <w:rPr>
          <w:rFonts w:ascii="Verdana" w:hAnsi="Verdana"/>
          <w:sz w:val="20"/>
          <w:szCs w:val="20"/>
        </w:rPr>
      </w:pPr>
      <w:r>
        <w:rPr>
          <w:rFonts w:ascii="Verdana" w:hAnsi="Verdana"/>
          <w:sz w:val="20"/>
          <w:szCs w:val="20"/>
        </w:rPr>
        <w:t>1.4.2.12.</w:t>
      </w:r>
    </w:p>
    <w:p w14:paraId="3480A308"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r w:rsidRPr="001A41C2">
        <w:rPr>
          <w:rFonts w:ascii="Verdana" w:hAnsi="Verdana" w:cs="Arial"/>
          <w:sz w:val="20"/>
          <w:szCs w:val="20"/>
          <w:lang w:val="es-ES"/>
        </w:rPr>
        <w:t xml:space="preserve">La categorización de las operaciones crediticias debe estar documentada y a disposición de la SFC. </w:t>
      </w:r>
    </w:p>
    <w:p w14:paraId="45FB46F8" w14:textId="77777777" w:rsidR="001A41C2" w:rsidRPr="00A819AE" w:rsidRDefault="001A41C2" w:rsidP="001A41C2">
      <w:pPr>
        <w:tabs>
          <w:tab w:val="left" w:pos="426"/>
        </w:tabs>
        <w:spacing w:after="0" w:line="240" w:lineRule="auto"/>
        <w:jc w:val="both"/>
        <w:rPr>
          <w:rFonts w:ascii="Verdana" w:hAnsi="Verdana" w:cs="Arial"/>
          <w:b/>
          <w:bCs/>
          <w:sz w:val="20"/>
          <w:szCs w:val="20"/>
          <w:lang w:val="es-ES"/>
        </w:rPr>
      </w:pPr>
    </w:p>
    <w:p w14:paraId="53DE627F" w14:textId="220B34A4" w:rsidR="001A41C2" w:rsidRPr="00A819AE" w:rsidRDefault="001A41C2" w:rsidP="001A41C2">
      <w:pPr>
        <w:tabs>
          <w:tab w:val="left" w:pos="426"/>
        </w:tabs>
        <w:spacing w:after="0" w:line="240" w:lineRule="auto"/>
        <w:jc w:val="both"/>
        <w:rPr>
          <w:rFonts w:ascii="Verdana" w:hAnsi="Verdana" w:cs="Arial"/>
          <w:b/>
          <w:bCs/>
          <w:sz w:val="20"/>
          <w:szCs w:val="20"/>
          <w:lang w:val="es-ES"/>
        </w:rPr>
      </w:pPr>
      <w:r w:rsidRPr="00A819AE">
        <w:rPr>
          <w:rFonts w:ascii="Verdana" w:hAnsi="Verdana" w:cs="Arial"/>
          <w:b/>
          <w:bCs/>
          <w:sz w:val="20"/>
          <w:szCs w:val="20"/>
          <w:lang w:val="es-ES"/>
        </w:rPr>
        <w:t>Evaluación de riesgos ambientales y sociales</w:t>
      </w:r>
    </w:p>
    <w:p w14:paraId="15758A24"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7422F9FD" w14:textId="53577020" w:rsidR="00A819AE" w:rsidRDefault="00A819AE" w:rsidP="001A41C2">
      <w:pPr>
        <w:tabs>
          <w:tab w:val="left" w:pos="426"/>
        </w:tabs>
        <w:spacing w:after="0" w:line="240" w:lineRule="auto"/>
        <w:jc w:val="both"/>
        <w:rPr>
          <w:rFonts w:ascii="Verdana" w:hAnsi="Verdana"/>
          <w:sz w:val="20"/>
          <w:szCs w:val="20"/>
        </w:rPr>
      </w:pPr>
      <w:r>
        <w:rPr>
          <w:rFonts w:ascii="Verdana" w:hAnsi="Verdana"/>
          <w:sz w:val="20"/>
          <w:szCs w:val="20"/>
        </w:rPr>
        <w:t>1.4.2.13.</w:t>
      </w:r>
    </w:p>
    <w:p w14:paraId="59413F0C" w14:textId="3676518A" w:rsidR="001A41C2" w:rsidRPr="001A41C2" w:rsidRDefault="001A41C2" w:rsidP="001A41C2">
      <w:pPr>
        <w:tabs>
          <w:tab w:val="left" w:pos="426"/>
        </w:tabs>
        <w:spacing w:after="0" w:line="240" w:lineRule="auto"/>
        <w:jc w:val="both"/>
        <w:rPr>
          <w:rFonts w:ascii="Verdana" w:hAnsi="Verdana" w:cs="Arial"/>
          <w:sz w:val="20"/>
          <w:szCs w:val="20"/>
          <w:lang w:val="es-ES"/>
        </w:rPr>
      </w:pPr>
      <w:r w:rsidRPr="001A41C2">
        <w:rPr>
          <w:rFonts w:ascii="Verdana" w:hAnsi="Verdana" w:cs="Arial"/>
          <w:sz w:val="20"/>
          <w:szCs w:val="20"/>
          <w:lang w:val="es-ES"/>
        </w:rPr>
        <w:t xml:space="preserve">Las entidades deben identificar y evaluar los riesgos ambientales y sociales, incluidos los climáticos, del deudor o del proyecto a financiar, según aplique, incluyendo sus externalidades negativas sobre el medio ambiente y la sociedad. Posteriormente, las entidades deben asignar la categoría de riesgo ambiental y social a la operación de crédito respectiva. </w:t>
      </w:r>
    </w:p>
    <w:p w14:paraId="371CA380"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60B92DCE" w14:textId="22EF33F9" w:rsidR="001A41C2" w:rsidRPr="00A819AE" w:rsidRDefault="001A41C2" w:rsidP="001A41C2">
      <w:pPr>
        <w:tabs>
          <w:tab w:val="left" w:pos="426"/>
        </w:tabs>
        <w:spacing w:after="0" w:line="240" w:lineRule="auto"/>
        <w:jc w:val="both"/>
        <w:rPr>
          <w:rFonts w:ascii="Verdana" w:hAnsi="Verdana" w:cs="Arial"/>
          <w:b/>
          <w:bCs/>
          <w:sz w:val="20"/>
          <w:szCs w:val="20"/>
          <w:lang w:val="es-ES"/>
        </w:rPr>
      </w:pPr>
      <w:r w:rsidRPr="00A819AE">
        <w:rPr>
          <w:rFonts w:ascii="Verdana" w:hAnsi="Verdana" w:cs="Arial"/>
          <w:b/>
          <w:bCs/>
          <w:sz w:val="20"/>
          <w:szCs w:val="20"/>
          <w:lang w:val="es-ES"/>
        </w:rPr>
        <w:t>Seguimiento</w:t>
      </w:r>
    </w:p>
    <w:p w14:paraId="3B1F1C8A"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2C33D85A" w14:textId="6C151489" w:rsidR="00A819AE" w:rsidRDefault="00A819AE" w:rsidP="00A819AE">
      <w:pPr>
        <w:tabs>
          <w:tab w:val="left" w:pos="426"/>
        </w:tabs>
        <w:spacing w:after="0" w:line="240" w:lineRule="auto"/>
        <w:jc w:val="both"/>
        <w:rPr>
          <w:rFonts w:ascii="Verdana" w:hAnsi="Verdana"/>
          <w:sz w:val="20"/>
          <w:szCs w:val="20"/>
        </w:rPr>
      </w:pPr>
      <w:r>
        <w:rPr>
          <w:rFonts w:ascii="Verdana" w:hAnsi="Verdana"/>
          <w:sz w:val="20"/>
          <w:szCs w:val="20"/>
        </w:rPr>
        <w:t>1.4.2.14.</w:t>
      </w:r>
    </w:p>
    <w:p w14:paraId="3396B8C5"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r w:rsidRPr="001A41C2">
        <w:rPr>
          <w:rFonts w:ascii="Verdana" w:hAnsi="Verdana" w:cs="Arial"/>
          <w:sz w:val="20"/>
          <w:szCs w:val="20"/>
          <w:lang w:val="es-ES"/>
        </w:rPr>
        <w:t xml:space="preserve">Las entidades deben realizar un seguimiento a las operaciones de crédito y evaluar los impactos de los factores de riesgo ambientales y sociales en el riesgo de crédito, de acuerdo con las políticas y procedimientos que defina cada entidad.  </w:t>
      </w:r>
    </w:p>
    <w:p w14:paraId="383B20DA"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7FC1BB2F" w14:textId="120EDBCF" w:rsidR="00A819AE" w:rsidRDefault="00A819AE" w:rsidP="00A819AE">
      <w:pPr>
        <w:tabs>
          <w:tab w:val="left" w:pos="426"/>
        </w:tabs>
        <w:spacing w:after="0" w:line="240" w:lineRule="auto"/>
        <w:jc w:val="both"/>
        <w:rPr>
          <w:rFonts w:ascii="Verdana" w:hAnsi="Verdana"/>
          <w:sz w:val="20"/>
          <w:szCs w:val="20"/>
        </w:rPr>
      </w:pPr>
      <w:r>
        <w:rPr>
          <w:rFonts w:ascii="Verdana" w:hAnsi="Verdana"/>
          <w:sz w:val="20"/>
          <w:szCs w:val="20"/>
        </w:rPr>
        <w:t>1.4.2.15.</w:t>
      </w:r>
    </w:p>
    <w:p w14:paraId="4F682961" w14:textId="7F8DB45D" w:rsidR="001A41C2" w:rsidRPr="001A41C2" w:rsidRDefault="001A41C2" w:rsidP="001A41C2">
      <w:pPr>
        <w:tabs>
          <w:tab w:val="left" w:pos="426"/>
        </w:tabs>
        <w:spacing w:after="0" w:line="240" w:lineRule="auto"/>
        <w:jc w:val="both"/>
        <w:rPr>
          <w:rFonts w:ascii="Verdana" w:hAnsi="Verdana" w:cs="Arial"/>
          <w:sz w:val="20"/>
          <w:szCs w:val="20"/>
          <w:lang w:val="es-ES"/>
        </w:rPr>
      </w:pPr>
      <w:r w:rsidRPr="001A41C2">
        <w:rPr>
          <w:rFonts w:ascii="Verdana" w:hAnsi="Verdana" w:cs="Arial"/>
          <w:sz w:val="20"/>
          <w:szCs w:val="20"/>
          <w:lang w:val="es-ES"/>
        </w:rPr>
        <w:t xml:space="preserve">Las entidades deben intensificar el seguimiento para aquellas operaciones crediticias catalogadas en riesgo alto, de conformidad con </w:t>
      </w:r>
      <w:r w:rsidR="002C5BF7">
        <w:rPr>
          <w:rFonts w:ascii="Verdana" w:hAnsi="Verdana" w:cs="Arial"/>
          <w:sz w:val="20"/>
          <w:szCs w:val="20"/>
          <w:lang w:val="es-ES"/>
        </w:rPr>
        <w:t xml:space="preserve">los párrafos </w:t>
      </w:r>
      <w:r w:rsidR="002C5BF7" w:rsidRPr="002C5BF7">
        <w:rPr>
          <w:rFonts w:ascii="Verdana" w:hAnsi="Verdana" w:cs="Arial"/>
          <w:sz w:val="20"/>
          <w:szCs w:val="20"/>
          <w:lang w:val="es-ES"/>
        </w:rPr>
        <w:t>1.4.2.10.</w:t>
      </w:r>
      <w:r w:rsidR="002C5BF7">
        <w:rPr>
          <w:rFonts w:ascii="Verdana" w:hAnsi="Verdana" w:cs="Arial"/>
          <w:sz w:val="20"/>
          <w:szCs w:val="20"/>
          <w:lang w:val="es-ES"/>
        </w:rPr>
        <w:t>, 1.4.2.11. y 1.4.2.12. de la presente sección</w:t>
      </w:r>
      <w:r w:rsidRPr="001A41C2">
        <w:rPr>
          <w:rFonts w:ascii="Verdana" w:hAnsi="Verdana" w:cs="Arial"/>
          <w:sz w:val="20"/>
          <w:szCs w:val="20"/>
          <w:lang w:val="es-ES"/>
        </w:rPr>
        <w:t>. Para estos propósitos, las entidades deben definir las medidas de debida diligencia de acuerdo con sus políticas internas, su marco de apetito de riesgo y su estrategia de negocio, incluyendo debidas diligencias para informarse sobre: (i) los impactos de la actividad financiada, (ii) el uso de los recursos facilitados en la operación, y/o (iii) el estado de los compromisos ambientales y sociales adquiridos por el deudor ante las autoridades competentes, en los términos acordados contractualmente por las partes.</w:t>
      </w:r>
    </w:p>
    <w:p w14:paraId="6A085470" w14:textId="77777777" w:rsidR="001A41C2" w:rsidRPr="00A819AE" w:rsidRDefault="001A41C2" w:rsidP="001A41C2">
      <w:pPr>
        <w:tabs>
          <w:tab w:val="left" w:pos="426"/>
        </w:tabs>
        <w:spacing w:after="0" w:line="240" w:lineRule="auto"/>
        <w:jc w:val="both"/>
        <w:rPr>
          <w:rFonts w:ascii="Verdana" w:hAnsi="Verdana" w:cs="Arial"/>
          <w:b/>
          <w:bCs/>
          <w:sz w:val="20"/>
          <w:szCs w:val="20"/>
          <w:lang w:val="es-ES"/>
        </w:rPr>
      </w:pPr>
    </w:p>
    <w:p w14:paraId="5C9C4399" w14:textId="6B890EC3" w:rsidR="001A41C2" w:rsidRPr="00A819AE" w:rsidRDefault="00545957" w:rsidP="001A41C2">
      <w:pPr>
        <w:tabs>
          <w:tab w:val="left" w:pos="426"/>
        </w:tabs>
        <w:spacing w:after="0" w:line="240" w:lineRule="auto"/>
        <w:jc w:val="both"/>
        <w:rPr>
          <w:rFonts w:ascii="Verdana" w:hAnsi="Verdana" w:cs="Arial"/>
          <w:b/>
          <w:bCs/>
          <w:sz w:val="20"/>
          <w:szCs w:val="20"/>
          <w:lang w:val="es-ES"/>
        </w:rPr>
      </w:pPr>
      <w:r w:rsidRPr="00A819AE">
        <w:rPr>
          <w:rFonts w:ascii="Verdana" w:hAnsi="Verdana" w:cs="Arial"/>
          <w:b/>
          <w:bCs/>
          <w:sz w:val="20"/>
          <w:szCs w:val="20"/>
          <w:lang w:val="es-ES"/>
        </w:rPr>
        <w:t xml:space="preserve">REPORTES </w:t>
      </w:r>
    </w:p>
    <w:p w14:paraId="71DA2889"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5F134B6B" w14:textId="160B741F" w:rsidR="00A819AE" w:rsidRDefault="00A819AE" w:rsidP="00A819AE">
      <w:pPr>
        <w:tabs>
          <w:tab w:val="left" w:pos="426"/>
        </w:tabs>
        <w:spacing w:after="0" w:line="240" w:lineRule="auto"/>
        <w:jc w:val="both"/>
        <w:rPr>
          <w:rFonts w:ascii="Verdana" w:hAnsi="Verdana"/>
          <w:sz w:val="20"/>
          <w:szCs w:val="20"/>
        </w:rPr>
      </w:pPr>
      <w:r>
        <w:rPr>
          <w:rFonts w:ascii="Verdana" w:hAnsi="Verdana"/>
          <w:sz w:val="20"/>
          <w:szCs w:val="20"/>
        </w:rPr>
        <w:t>1.4.2.16.</w:t>
      </w:r>
    </w:p>
    <w:p w14:paraId="5951F572"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r w:rsidRPr="001A41C2">
        <w:rPr>
          <w:rFonts w:ascii="Verdana" w:hAnsi="Verdana" w:cs="Arial"/>
          <w:sz w:val="20"/>
          <w:szCs w:val="20"/>
          <w:lang w:val="es-ES"/>
        </w:rPr>
        <w:t>Los encargados de la función de gestión de riesgos deben presentar a la Junta Directiva y a la Alta Gerencia, por lo menos semestralmente, un informe que contenga los siguientes aspectos:</w:t>
      </w:r>
    </w:p>
    <w:p w14:paraId="384202FC"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57795EF4" w14:textId="1EDFC409" w:rsidR="001A41C2" w:rsidRPr="00A819AE" w:rsidRDefault="001A41C2" w:rsidP="00801A7A">
      <w:pPr>
        <w:pStyle w:val="Prrafodelista"/>
        <w:numPr>
          <w:ilvl w:val="0"/>
          <w:numId w:val="20"/>
        </w:numPr>
        <w:tabs>
          <w:tab w:val="left" w:pos="567"/>
        </w:tabs>
        <w:spacing w:after="0" w:line="240" w:lineRule="auto"/>
        <w:ind w:left="567" w:hanging="567"/>
        <w:jc w:val="both"/>
        <w:rPr>
          <w:rFonts w:ascii="Verdana" w:hAnsi="Verdana" w:cs="Arial"/>
          <w:sz w:val="20"/>
          <w:szCs w:val="20"/>
          <w:lang w:val="es-ES"/>
        </w:rPr>
      </w:pPr>
      <w:r w:rsidRPr="00A819AE">
        <w:rPr>
          <w:rFonts w:ascii="Verdana" w:hAnsi="Verdana" w:cs="Arial"/>
          <w:sz w:val="20"/>
          <w:szCs w:val="20"/>
          <w:lang w:val="es-ES"/>
        </w:rPr>
        <w:t xml:space="preserve">Número de operaciones crediticias que superaron el filtro inicial previsto </w:t>
      </w:r>
      <w:r w:rsidR="00B227EE">
        <w:rPr>
          <w:rFonts w:ascii="Verdana" w:hAnsi="Verdana" w:cs="Arial"/>
          <w:sz w:val="20"/>
          <w:szCs w:val="20"/>
          <w:lang w:val="es-ES"/>
        </w:rPr>
        <w:t xml:space="preserve">en los párrafos </w:t>
      </w:r>
      <w:r w:rsidR="00B227EE" w:rsidRPr="00B227EE">
        <w:rPr>
          <w:rFonts w:ascii="Verdana" w:hAnsi="Verdana" w:cs="Arial"/>
          <w:sz w:val="20"/>
          <w:szCs w:val="20"/>
          <w:lang w:val="es-ES"/>
        </w:rPr>
        <w:t>1.4.2.6.</w:t>
      </w:r>
      <w:r w:rsidR="00B227EE">
        <w:rPr>
          <w:rFonts w:ascii="Verdana" w:hAnsi="Verdana" w:cs="Arial"/>
          <w:sz w:val="20"/>
          <w:szCs w:val="20"/>
          <w:lang w:val="es-ES"/>
        </w:rPr>
        <w:t xml:space="preserve">, 1.4.2.7. y 1.4.2.8. </w:t>
      </w:r>
      <w:r w:rsidRPr="00A819AE">
        <w:rPr>
          <w:rFonts w:ascii="Verdana" w:hAnsi="Verdana" w:cs="Arial"/>
          <w:sz w:val="20"/>
          <w:szCs w:val="20"/>
          <w:lang w:val="es-ES"/>
        </w:rPr>
        <w:t xml:space="preserve">y su respectiva distribución por nivel de categorización, de conformidad con </w:t>
      </w:r>
      <w:r w:rsidR="00941833">
        <w:rPr>
          <w:rFonts w:ascii="Verdana" w:hAnsi="Verdana" w:cs="Arial"/>
          <w:sz w:val="20"/>
          <w:szCs w:val="20"/>
          <w:lang w:val="es-ES"/>
        </w:rPr>
        <w:t xml:space="preserve">los párrafos </w:t>
      </w:r>
      <w:r w:rsidR="00941833" w:rsidRPr="00941833">
        <w:rPr>
          <w:rFonts w:ascii="Verdana" w:hAnsi="Verdana" w:cs="Arial"/>
          <w:sz w:val="20"/>
          <w:szCs w:val="20"/>
          <w:lang w:val="es-ES"/>
        </w:rPr>
        <w:t>1.4.2.10.</w:t>
      </w:r>
      <w:r w:rsidR="00941833">
        <w:rPr>
          <w:rFonts w:ascii="Verdana" w:hAnsi="Verdana" w:cs="Arial"/>
          <w:sz w:val="20"/>
          <w:szCs w:val="20"/>
          <w:lang w:val="es-ES"/>
        </w:rPr>
        <w:t>, 1.4.2.11. y 1.4.2.12 de la presente sección</w:t>
      </w:r>
      <w:r w:rsidRPr="00A819AE">
        <w:rPr>
          <w:rFonts w:ascii="Verdana" w:hAnsi="Verdana" w:cs="Arial"/>
          <w:sz w:val="20"/>
          <w:szCs w:val="20"/>
          <w:lang w:val="es-ES"/>
        </w:rPr>
        <w:t xml:space="preserve">. </w:t>
      </w:r>
    </w:p>
    <w:p w14:paraId="663C9593" w14:textId="77777777" w:rsidR="001A41C2" w:rsidRPr="001A41C2" w:rsidRDefault="001A41C2" w:rsidP="00801A7A">
      <w:pPr>
        <w:tabs>
          <w:tab w:val="left" w:pos="567"/>
        </w:tabs>
        <w:spacing w:after="0" w:line="240" w:lineRule="auto"/>
        <w:ind w:left="567" w:hanging="567"/>
        <w:jc w:val="both"/>
        <w:rPr>
          <w:rFonts w:ascii="Verdana" w:hAnsi="Verdana" w:cs="Arial"/>
          <w:sz w:val="20"/>
          <w:szCs w:val="20"/>
          <w:lang w:val="es-ES"/>
        </w:rPr>
      </w:pPr>
    </w:p>
    <w:p w14:paraId="3D430790" w14:textId="6F6AF42C" w:rsidR="001A41C2" w:rsidRPr="00A819AE" w:rsidRDefault="001A41C2" w:rsidP="00801A7A">
      <w:pPr>
        <w:pStyle w:val="Prrafodelista"/>
        <w:numPr>
          <w:ilvl w:val="0"/>
          <w:numId w:val="20"/>
        </w:numPr>
        <w:tabs>
          <w:tab w:val="left" w:pos="567"/>
        </w:tabs>
        <w:spacing w:after="0" w:line="240" w:lineRule="auto"/>
        <w:ind w:left="567" w:hanging="567"/>
        <w:jc w:val="both"/>
        <w:rPr>
          <w:rFonts w:ascii="Verdana" w:hAnsi="Verdana" w:cs="Arial"/>
          <w:sz w:val="20"/>
          <w:szCs w:val="20"/>
          <w:lang w:val="es-ES"/>
        </w:rPr>
      </w:pPr>
      <w:r w:rsidRPr="00A819AE">
        <w:rPr>
          <w:rFonts w:ascii="Verdana" w:hAnsi="Verdana" w:cs="Arial"/>
          <w:sz w:val="20"/>
          <w:szCs w:val="20"/>
          <w:lang w:val="es-ES"/>
        </w:rPr>
        <w:t xml:space="preserve">Principales resultados materiales del seguimiento de las operaciones crediticias, de acuerdo con lo previsto </w:t>
      </w:r>
      <w:r w:rsidR="00C91244">
        <w:rPr>
          <w:rFonts w:ascii="Verdana" w:hAnsi="Verdana" w:cs="Arial"/>
          <w:sz w:val="20"/>
          <w:szCs w:val="20"/>
          <w:lang w:val="es-ES"/>
        </w:rPr>
        <w:t>en los párrafos 1.4.2.14. y 1.4.2.15. de la presente sección</w:t>
      </w:r>
      <w:r w:rsidRPr="00A819AE">
        <w:rPr>
          <w:rFonts w:ascii="Verdana" w:hAnsi="Verdana" w:cs="Arial"/>
          <w:sz w:val="20"/>
          <w:szCs w:val="20"/>
          <w:lang w:val="es-ES"/>
        </w:rPr>
        <w:t>.</w:t>
      </w:r>
    </w:p>
    <w:p w14:paraId="4F85ED03"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4338A9E6" w14:textId="0C84AD69" w:rsidR="00CB4D8C" w:rsidRDefault="00CB4D8C" w:rsidP="00CB4D8C">
      <w:pPr>
        <w:tabs>
          <w:tab w:val="left" w:pos="426"/>
        </w:tabs>
        <w:spacing w:after="0" w:line="240" w:lineRule="auto"/>
        <w:jc w:val="both"/>
        <w:rPr>
          <w:rFonts w:ascii="Verdana" w:hAnsi="Verdana"/>
          <w:sz w:val="20"/>
          <w:szCs w:val="20"/>
        </w:rPr>
      </w:pPr>
      <w:r>
        <w:rPr>
          <w:rFonts w:ascii="Verdana" w:hAnsi="Verdana"/>
          <w:sz w:val="20"/>
          <w:szCs w:val="20"/>
        </w:rPr>
        <w:t>1.4.2.17.</w:t>
      </w:r>
    </w:p>
    <w:p w14:paraId="5FE273CA"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r w:rsidRPr="001A41C2">
        <w:rPr>
          <w:rFonts w:ascii="Verdana" w:hAnsi="Verdana" w:cs="Arial"/>
          <w:sz w:val="20"/>
          <w:szCs w:val="20"/>
          <w:lang w:val="es-ES"/>
        </w:rPr>
        <w:t xml:space="preserve">En todo caso, la Junta Directiva podrá designar a un comité para recibir y evaluar los reportes de que trata el presente numeral. El Comité designado debe evaluar los reportes y establecer aquellos asuntos que pueden requerir un pronunciamiento de la Junta </w:t>
      </w:r>
      <w:r w:rsidRPr="001A41C2">
        <w:rPr>
          <w:rFonts w:ascii="Verdana" w:hAnsi="Verdana" w:cs="Arial"/>
          <w:sz w:val="20"/>
          <w:szCs w:val="20"/>
          <w:lang w:val="es-ES"/>
        </w:rPr>
        <w:lastRenderedPageBreak/>
        <w:t xml:space="preserve">Directiva, en atención de la naturaleza, relevancia e importancia de estos asuntos, según lo definido en las políticas internas de cada entidad. </w:t>
      </w:r>
    </w:p>
    <w:p w14:paraId="0D80F536" w14:textId="77777777" w:rsidR="001A41C2" w:rsidRPr="001A41C2" w:rsidRDefault="001A41C2" w:rsidP="001A41C2">
      <w:pPr>
        <w:tabs>
          <w:tab w:val="left" w:pos="426"/>
        </w:tabs>
        <w:spacing w:after="0" w:line="240" w:lineRule="auto"/>
        <w:jc w:val="both"/>
        <w:rPr>
          <w:rFonts w:ascii="Verdana" w:hAnsi="Verdana" w:cs="Arial"/>
          <w:sz w:val="20"/>
          <w:szCs w:val="20"/>
          <w:lang w:val="es-ES"/>
        </w:rPr>
      </w:pPr>
    </w:p>
    <w:p w14:paraId="58FD45B2" w14:textId="327C66DE" w:rsidR="00CB4D8C" w:rsidRDefault="00CB4D8C" w:rsidP="00CB4D8C">
      <w:pPr>
        <w:tabs>
          <w:tab w:val="left" w:pos="426"/>
        </w:tabs>
        <w:spacing w:after="0" w:line="240" w:lineRule="auto"/>
        <w:jc w:val="both"/>
        <w:rPr>
          <w:rFonts w:ascii="Verdana" w:hAnsi="Verdana"/>
          <w:sz w:val="20"/>
          <w:szCs w:val="20"/>
        </w:rPr>
      </w:pPr>
      <w:r>
        <w:rPr>
          <w:rFonts w:ascii="Verdana" w:hAnsi="Verdana"/>
          <w:sz w:val="20"/>
          <w:szCs w:val="20"/>
        </w:rPr>
        <w:t>1.4.2.18.</w:t>
      </w:r>
    </w:p>
    <w:p w14:paraId="55A94767" w14:textId="274BD084" w:rsidR="00DA0C0E" w:rsidRPr="008011DC" w:rsidRDefault="001A41C2" w:rsidP="001A41C2">
      <w:pPr>
        <w:tabs>
          <w:tab w:val="left" w:pos="426"/>
        </w:tabs>
        <w:spacing w:after="0" w:line="240" w:lineRule="auto"/>
        <w:jc w:val="both"/>
        <w:rPr>
          <w:rFonts w:ascii="Verdana" w:hAnsi="Verdana" w:cs="Arial"/>
          <w:sz w:val="20"/>
          <w:szCs w:val="20"/>
          <w:lang w:val="es-ES"/>
        </w:rPr>
      </w:pPr>
      <w:r w:rsidRPr="001A41C2">
        <w:rPr>
          <w:rFonts w:ascii="Verdana" w:hAnsi="Verdana" w:cs="Arial"/>
          <w:sz w:val="20"/>
          <w:szCs w:val="20"/>
          <w:lang w:val="es-ES"/>
        </w:rPr>
        <w:t>Este reporte debe estar documentado y a disposición de la SFC.</w:t>
      </w:r>
    </w:p>
    <w:sectPr w:rsidR="00DA0C0E" w:rsidRPr="008011DC" w:rsidSect="003C558F">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8F1D6" w14:textId="77777777" w:rsidR="00890185" w:rsidRDefault="00890185" w:rsidP="00057BF6">
      <w:pPr>
        <w:spacing w:after="0" w:line="240" w:lineRule="auto"/>
      </w:pPr>
      <w:r>
        <w:separator/>
      </w:r>
    </w:p>
  </w:endnote>
  <w:endnote w:type="continuationSeparator" w:id="0">
    <w:p w14:paraId="2E767FAB" w14:textId="77777777" w:rsidR="00890185" w:rsidRDefault="00890185" w:rsidP="00057BF6">
      <w:pPr>
        <w:spacing w:after="0" w:line="240" w:lineRule="auto"/>
      </w:pPr>
      <w:r>
        <w:continuationSeparator/>
      </w:r>
    </w:p>
  </w:endnote>
  <w:endnote w:type="continuationNotice" w:id="1">
    <w:p w14:paraId="65B1FDC1" w14:textId="77777777" w:rsidR="00890185" w:rsidRDefault="008901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BCFB5" w14:textId="77777777" w:rsidR="00890185" w:rsidRDefault="00890185" w:rsidP="00057BF6">
      <w:pPr>
        <w:spacing w:after="0" w:line="240" w:lineRule="auto"/>
      </w:pPr>
      <w:r>
        <w:separator/>
      </w:r>
    </w:p>
  </w:footnote>
  <w:footnote w:type="continuationSeparator" w:id="0">
    <w:p w14:paraId="0C7E01FD" w14:textId="77777777" w:rsidR="00890185" w:rsidRDefault="00890185" w:rsidP="00057BF6">
      <w:pPr>
        <w:spacing w:after="0" w:line="240" w:lineRule="auto"/>
      </w:pPr>
      <w:r>
        <w:continuationSeparator/>
      </w:r>
    </w:p>
  </w:footnote>
  <w:footnote w:type="continuationNotice" w:id="1">
    <w:p w14:paraId="1344E77A" w14:textId="77777777" w:rsidR="00890185" w:rsidRDefault="008901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C467C91"/>
    <w:multiLevelType w:val="hybridMultilevel"/>
    <w:tmpl w:val="7E9C93AC"/>
    <w:lvl w:ilvl="0" w:tplc="A2480B08">
      <w:start w:val="1"/>
      <w:numFmt w:val="lowerLetter"/>
      <w:lvlText w:val="%1."/>
      <w:lvlJc w:val="left"/>
      <w:pPr>
        <w:ind w:left="790" w:hanging="43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 w15:restartNumberingAfterBreak="0">
    <w:nsid w:val="18942C86"/>
    <w:multiLevelType w:val="hybridMultilevel"/>
    <w:tmpl w:val="A866C11C"/>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 w15:restartNumberingAfterBreak="0">
    <w:nsid w:val="19725336"/>
    <w:multiLevelType w:val="hybridMultilevel"/>
    <w:tmpl w:val="4FDAF646"/>
    <w:lvl w:ilvl="0" w:tplc="77240C90">
      <w:start w:val="1"/>
      <w:numFmt w:val="lowerLetter"/>
      <w:lvlText w:val="%1."/>
      <w:lvlJc w:val="left"/>
      <w:pPr>
        <w:ind w:left="790" w:hanging="43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1BD311EA"/>
    <w:multiLevelType w:val="hybridMultilevel"/>
    <w:tmpl w:val="AE14BE0C"/>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5" w15:restartNumberingAfterBreak="0">
    <w:nsid w:val="20AF7F3D"/>
    <w:multiLevelType w:val="hybridMultilevel"/>
    <w:tmpl w:val="24BA4016"/>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 w15:restartNumberingAfterBreak="0">
    <w:nsid w:val="2AB63ED6"/>
    <w:multiLevelType w:val="hybridMultilevel"/>
    <w:tmpl w:val="9EC80604"/>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7" w15:restartNumberingAfterBreak="0">
    <w:nsid w:val="3B030F57"/>
    <w:multiLevelType w:val="hybridMultilevel"/>
    <w:tmpl w:val="5D22546E"/>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8" w15:restartNumberingAfterBreak="0">
    <w:nsid w:val="468A53B7"/>
    <w:multiLevelType w:val="hybridMultilevel"/>
    <w:tmpl w:val="B530A22C"/>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9" w15:restartNumberingAfterBreak="0">
    <w:nsid w:val="4BFB2EF8"/>
    <w:multiLevelType w:val="hybridMultilevel"/>
    <w:tmpl w:val="3852F8C2"/>
    <w:lvl w:ilvl="0" w:tplc="78C0E582">
      <w:start w:val="4"/>
      <w:numFmt w:val="lowerLetter"/>
      <w:lvlText w:val="%1)"/>
      <w:lvlJc w:val="left"/>
      <w:pPr>
        <w:tabs>
          <w:tab w:val="num" w:pos="360"/>
        </w:tabs>
        <w:ind w:left="360" w:hanging="360"/>
      </w:pPr>
      <w:rPr>
        <w:rFonts w:hint="default"/>
      </w:rPr>
    </w:lvl>
    <w:lvl w:ilvl="1" w:tplc="0C0A0019" w:tentative="1">
      <w:start w:val="1"/>
      <w:numFmt w:val="lowerLetter"/>
      <w:pStyle w:val="Titulo3"/>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0" w15:restartNumberingAfterBreak="0">
    <w:nsid w:val="56F8317C"/>
    <w:multiLevelType w:val="hybridMultilevel"/>
    <w:tmpl w:val="4866FD28"/>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1" w15:restartNumberingAfterBreak="0">
    <w:nsid w:val="587C5A4E"/>
    <w:multiLevelType w:val="multilevel"/>
    <w:tmpl w:val="86D62B70"/>
    <w:lvl w:ilvl="0">
      <w:start w:val="1"/>
      <w:numFmt w:val="bullet"/>
      <w:lvlText w:val=""/>
      <w:lvlJc w:val="left"/>
      <w:pPr>
        <w:tabs>
          <w:tab w:val="num" w:pos="360"/>
        </w:tabs>
        <w:ind w:left="360" w:hanging="360"/>
      </w:pPr>
      <w:rPr>
        <w:rFonts w:ascii="Symbol" w:hAnsi="Symbol" w:hint="default"/>
        <w:b/>
      </w:rPr>
    </w:lvl>
    <w:lvl w:ilvl="1">
      <w:start w:val="1"/>
      <w:numFmt w:val="decimal"/>
      <w:pStyle w:val="Titulo"/>
      <w:lvlText w:val="%1.%2"/>
      <w:lvlJc w:val="left"/>
      <w:pPr>
        <w:tabs>
          <w:tab w:val="num" w:pos="1070"/>
        </w:tabs>
        <w:ind w:left="107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2.%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15:restartNumberingAfterBreak="0">
    <w:nsid w:val="5E2922AA"/>
    <w:multiLevelType w:val="hybridMultilevel"/>
    <w:tmpl w:val="0BD41336"/>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3" w15:restartNumberingAfterBreak="0">
    <w:nsid w:val="60B96C07"/>
    <w:multiLevelType w:val="hybridMultilevel"/>
    <w:tmpl w:val="EDAEBF3C"/>
    <w:lvl w:ilvl="0" w:tplc="580A0019">
      <w:start w:val="1"/>
      <w:numFmt w:val="lowerLetter"/>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269344E"/>
    <w:multiLevelType w:val="hybridMultilevel"/>
    <w:tmpl w:val="9374510A"/>
    <w:lvl w:ilvl="0" w:tplc="DCB81DB8">
      <w:start w:val="1"/>
      <w:numFmt w:val="lowerLetter"/>
      <w:lvlText w:val="%1."/>
      <w:lvlJc w:val="left"/>
      <w:pPr>
        <w:ind w:left="790" w:hanging="43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5" w15:restartNumberingAfterBreak="0">
    <w:nsid w:val="65D3253A"/>
    <w:multiLevelType w:val="hybridMultilevel"/>
    <w:tmpl w:val="A51CCAF0"/>
    <w:lvl w:ilvl="0" w:tplc="0B7E2188">
      <w:start w:val="1"/>
      <w:numFmt w:val="lowerLetter"/>
      <w:lvlText w:val="%1."/>
      <w:lvlJc w:val="left"/>
      <w:pPr>
        <w:ind w:left="790" w:hanging="43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6" w15:restartNumberingAfterBreak="0">
    <w:nsid w:val="66FF1FC8"/>
    <w:multiLevelType w:val="hybridMultilevel"/>
    <w:tmpl w:val="E7C6304A"/>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7" w15:restartNumberingAfterBreak="0">
    <w:nsid w:val="670B4D97"/>
    <w:multiLevelType w:val="hybridMultilevel"/>
    <w:tmpl w:val="A63E4BCC"/>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8" w15:restartNumberingAfterBreak="0">
    <w:nsid w:val="734F73CA"/>
    <w:multiLevelType w:val="hybridMultilevel"/>
    <w:tmpl w:val="B0AEA07A"/>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9"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C454254"/>
    <w:multiLevelType w:val="hybridMultilevel"/>
    <w:tmpl w:val="CA6E528C"/>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num w:numId="1" w16cid:durableId="1880435568">
    <w:abstractNumId w:val="19"/>
  </w:num>
  <w:num w:numId="2" w16cid:durableId="1362513633">
    <w:abstractNumId w:val="0"/>
  </w:num>
  <w:num w:numId="3" w16cid:durableId="640697657">
    <w:abstractNumId w:val="11"/>
  </w:num>
  <w:num w:numId="4" w16cid:durableId="1447387446">
    <w:abstractNumId w:val="9"/>
  </w:num>
  <w:num w:numId="5" w16cid:durableId="833301108">
    <w:abstractNumId w:val="10"/>
  </w:num>
  <w:num w:numId="6" w16cid:durableId="2090929540">
    <w:abstractNumId w:val="6"/>
  </w:num>
  <w:num w:numId="7" w16cid:durableId="1840539712">
    <w:abstractNumId w:val="5"/>
  </w:num>
  <w:num w:numId="8" w16cid:durableId="2053842636">
    <w:abstractNumId w:val="4"/>
  </w:num>
  <w:num w:numId="9" w16cid:durableId="232200126">
    <w:abstractNumId w:val="13"/>
  </w:num>
  <w:num w:numId="10" w16cid:durableId="495074258">
    <w:abstractNumId w:val="2"/>
  </w:num>
  <w:num w:numId="11" w16cid:durableId="536310083">
    <w:abstractNumId w:val="17"/>
  </w:num>
  <w:num w:numId="12" w16cid:durableId="508757134">
    <w:abstractNumId w:val="16"/>
  </w:num>
  <w:num w:numId="13" w16cid:durableId="464201708">
    <w:abstractNumId w:val="8"/>
  </w:num>
  <w:num w:numId="14" w16cid:durableId="1328899227">
    <w:abstractNumId w:val="12"/>
  </w:num>
  <w:num w:numId="15" w16cid:durableId="176113900">
    <w:abstractNumId w:val="1"/>
  </w:num>
  <w:num w:numId="16" w16cid:durableId="267660261">
    <w:abstractNumId w:val="7"/>
  </w:num>
  <w:num w:numId="17" w16cid:durableId="1344431707">
    <w:abstractNumId w:val="14"/>
  </w:num>
  <w:num w:numId="18" w16cid:durableId="1326126837">
    <w:abstractNumId w:val="20"/>
  </w:num>
  <w:num w:numId="19" w16cid:durableId="1755348828">
    <w:abstractNumId w:val="3"/>
  </w:num>
  <w:num w:numId="20" w16cid:durableId="1634216898">
    <w:abstractNumId w:val="18"/>
  </w:num>
  <w:num w:numId="21" w16cid:durableId="16490744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10A68"/>
    <w:rsid w:val="00014CCB"/>
    <w:rsid w:val="00026FFA"/>
    <w:rsid w:val="00057BF6"/>
    <w:rsid w:val="000600BA"/>
    <w:rsid w:val="0006736C"/>
    <w:rsid w:val="000728A8"/>
    <w:rsid w:val="00086889"/>
    <w:rsid w:val="000A0C92"/>
    <w:rsid w:val="000A2B5A"/>
    <w:rsid w:val="000B72B0"/>
    <w:rsid w:val="000E530A"/>
    <w:rsid w:val="000F5757"/>
    <w:rsid w:val="000F66D4"/>
    <w:rsid w:val="001003F5"/>
    <w:rsid w:val="0010081A"/>
    <w:rsid w:val="00105A03"/>
    <w:rsid w:val="0011299A"/>
    <w:rsid w:val="00116005"/>
    <w:rsid w:val="00124C3F"/>
    <w:rsid w:val="001356B1"/>
    <w:rsid w:val="00137C90"/>
    <w:rsid w:val="0014104C"/>
    <w:rsid w:val="00151B6C"/>
    <w:rsid w:val="0015655D"/>
    <w:rsid w:val="00175A00"/>
    <w:rsid w:val="0018575D"/>
    <w:rsid w:val="001A1549"/>
    <w:rsid w:val="001A41C2"/>
    <w:rsid w:val="001B4F62"/>
    <w:rsid w:val="001B5187"/>
    <w:rsid w:val="001C2ADF"/>
    <w:rsid w:val="001C588A"/>
    <w:rsid w:val="001D1DB5"/>
    <w:rsid w:val="001E0F92"/>
    <w:rsid w:val="001E1768"/>
    <w:rsid w:val="001F16EF"/>
    <w:rsid w:val="0020607C"/>
    <w:rsid w:val="002116D5"/>
    <w:rsid w:val="0021666A"/>
    <w:rsid w:val="002268CB"/>
    <w:rsid w:val="002268EF"/>
    <w:rsid w:val="0023407B"/>
    <w:rsid w:val="002401F2"/>
    <w:rsid w:val="00240AF9"/>
    <w:rsid w:val="002419F0"/>
    <w:rsid w:val="00261888"/>
    <w:rsid w:val="002742AF"/>
    <w:rsid w:val="00275639"/>
    <w:rsid w:val="002970C4"/>
    <w:rsid w:val="002A0556"/>
    <w:rsid w:val="002B3FC7"/>
    <w:rsid w:val="002B4F4A"/>
    <w:rsid w:val="002C0527"/>
    <w:rsid w:val="002C0A9B"/>
    <w:rsid w:val="002C2560"/>
    <w:rsid w:val="002C4299"/>
    <w:rsid w:val="002C5BF7"/>
    <w:rsid w:val="002E0E78"/>
    <w:rsid w:val="002E40AA"/>
    <w:rsid w:val="002F090B"/>
    <w:rsid w:val="002F179A"/>
    <w:rsid w:val="002F4530"/>
    <w:rsid w:val="002F5CF4"/>
    <w:rsid w:val="00307FF8"/>
    <w:rsid w:val="00310409"/>
    <w:rsid w:val="00314233"/>
    <w:rsid w:val="0033541E"/>
    <w:rsid w:val="003422D1"/>
    <w:rsid w:val="00346459"/>
    <w:rsid w:val="00346D62"/>
    <w:rsid w:val="00355F51"/>
    <w:rsid w:val="003613EE"/>
    <w:rsid w:val="0036407F"/>
    <w:rsid w:val="003649CF"/>
    <w:rsid w:val="00375829"/>
    <w:rsid w:val="00392BEC"/>
    <w:rsid w:val="003A417D"/>
    <w:rsid w:val="003A5CFE"/>
    <w:rsid w:val="003B09E1"/>
    <w:rsid w:val="003B6004"/>
    <w:rsid w:val="003C558F"/>
    <w:rsid w:val="003D01AD"/>
    <w:rsid w:val="003E051D"/>
    <w:rsid w:val="003F1772"/>
    <w:rsid w:val="0040498E"/>
    <w:rsid w:val="00405030"/>
    <w:rsid w:val="004059B2"/>
    <w:rsid w:val="00406D2B"/>
    <w:rsid w:val="00422F6D"/>
    <w:rsid w:val="00427537"/>
    <w:rsid w:val="0042785C"/>
    <w:rsid w:val="00430817"/>
    <w:rsid w:val="0043223D"/>
    <w:rsid w:val="004342C4"/>
    <w:rsid w:val="004362B9"/>
    <w:rsid w:val="00437AF2"/>
    <w:rsid w:val="00456B50"/>
    <w:rsid w:val="00457655"/>
    <w:rsid w:val="004604AC"/>
    <w:rsid w:val="00473068"/>
    <w:rsid w:val="00473B77"/>
    <w:rsid w:val="00484E2F"/>
    <w:rsid w:val="00490260"/>
    <w:rsid w:val="004925D5"/>
    <w:rsid w:val="00493D28"/>
    <w:rsid w:val="00494943"/>
    <w:rsid w:val="004A39F9"/>
    <w:rsid w:val="004B5FF8"/>
    <w:rsid w:val="004E1A64"/>
    <w:rsid w:val="004E2AED"/>
    <w:rsid w:val="004F6439"/>
    <w:rsid w:val="0051673E"/>
    <w:rsid w:val="00520D80"/>
    <w:rsid w:val="0052278B"/>
    <w:rsid w:val="005264A3"/>
    <w:rsid w:val="00532440"/>
    <w:rsid w:val="00544A86"/>
    <w:rsid w:val="00545957"/>
    <w:rsid w:val="0055480C"/>
    <w:rsid w:val="005567FF"/>
    <w:rsid w:val="0055785C"/>
    <w:rsid w:val="005609BC"/>
    <w:rsid w:val="00564B9E"/>
    <w:rsid w:val="005676A0"/>
    <w:rsid w:val="00575D43"/>
    <w:rsid w:val="00577CD3"/>
    <w:rsid w:val="0058176B"/>
    <w:rsid w:val="0058263B"/>
    <w:rsid w:val="0058723C"/>
    <w:rsid w:val="0059043C"/>
    <w:rsid w:val="0059607C"/>
    <w:rsid w:val="00596519"/>
    <w:rsid w:val="00596B88"/>
    <w:rsid w:val="005B7BCB"/>
    <w:rsid w:val="005C5763"/>
    <w:rsid w:val="005D2044"/>
    <w:rsid w:val="005D218A"/>
    <w:rsid w:val="005E3284"/>
    <w:rsid w:val="005E647D"/>
    <w:rsid w:val="005F175F"/>
    <w:rsid w:val="0061423F"/>
    <w:rsid w:val="00620A56"/>
    <w:rsid w:val="00622997"/>
    <w:rsid w:val="00625919"/>
    <w:rsid w:val="00626451"/>
    <w:rsid w:val="006269DA"/>
    <w:rsid w:val="00626EC1"/>
    <w:rsid w:val="00632F71"/>
    <w:rsid w:val="006345E2"/>
    <w:rsid w:val="00641C68"/>
    <w:rsid w:val="0064512E"/>
    <w:rsid w:val="00647A6C"/>
    <w:rsid w:val="0065284D"/>
    <w:rsid w:val="00671C76"/>
    <w:rsid w:val="00684047"/>
    <w:rsid w:val="006A3ABA"/>
    <w:rsid w:val="006A7B99"/>
    <w:rsid w:val="006B0B1E"/>
    <w:rsid w:val="006B11D4"/>
    <w:rsid w:val="006C4D50"/>
    <w:rsid w:val="006D221A"/>
    <w:rsid w:val="006D766D"/>
    <w:rsid w:val="006E7CCF"/>
    <w:rsid w:val="006F293B"/>
    <w:rsid w:val="006F527B"/>
    <w:rsid w:val="00703425"/>
    <w:rsid w:val="00721D02"/>
    <w:rsid w:val="00724C8B"/>
    <w:rsid w:val="00730B64"/>
    <w:rsid w:val="00735A47"/>
    <w:rsid w:val="0074476A"/>
    <w:rsid w:val="007678F2"/>
    <w:rsid w:val="007700FB"/>
    <w:rsid w:val="0077362D"/>
    <w:rsid w:val="007A0885"/>
    <w:rsid w:val="007A1137"/>
    <w:rsid w:val="007A302E"/>
    <w:rsid w:val="007A4231"/>
    <w:rsid w:val="007B2CD5"/>
    <w:rsid w:val="007B3698"/>
    <w:rsid w:val="007C276E"/>
    <w:rsid w:val="007C673F"/>
    <w:rsid w:val="007C7D3A"/>
    <w:rsid w:val="007D4332"/>
    <w:rsid w:val="007D6A7A"/>
    <w:rsid w:val="007F6718"/>
    <w:rsid w:val="008011DC"/>
    <w:rsid w:val="00801A7A"/>
    <w:rsid w:val="00803053"/>
    <w:rsid w:val="008038CC"/>
    <w:rsid w:val="00803FF4"/>
    <w:rsid w:val="008143BD"/>
    <w:rsid w:val="0082329A"/>
    <w:rsid w:val="00832408"/>
    <w:rsid w:val="00832BEC"/>
    <w:rsid w:val="00852379"/>
    <w:rsid w:val="008617EC"/>
    <w:rsid w:val="00861C79"/>
    <w:rsid w:val="00866023"/>
    <w:rsid w:val="00886509"/>
    <w:rsid w:val="00890185"/>
    <w:rsid w:val="008A7193"/>
    <w:rsid w:val="008B26AF"/>
    <w:rsid w:val="008B28A7"/>
    <w:rsid w:val="008B34F9"/>
    <w:rsid w:val="008C1F56"/>
    <w:rsid w:val="008C33D3"/>
    <w:rsid w:val="008F6B84"/>
    <w:rsid w:val="008F752E"/>
    <w:rsid w:val="00905AB8"/>
    <w:rsid w:val="00912913"/>
    <w:rsid w:val="009162F3"/>
    <w:rsid w:val="00920742"/>
    <w:rsid w:val="009230DC"/>
    <w:rsid w:val="00932C6D"/>
    <w:rsid w:val="0093695F"/>
    <w:rsid w:val="00941833"/>
    <w:rsid w:val="009524E2"/>
    <w:rsid w:val="00955E84"/>
    <w:rsid w:val="00956EC8"/>
    <w:rsid w:val="009571FD"/>
    <w:rsid w:val="00961180"/>
    <w:rsid w:val="00962826"/>
    <w:rsid w:val="009A2823"/>
    <w:rsid w:val="009A346C"/>
    <w:rsid w:val="009A774A"/>
    <w:rsid w:val="009B13DF"/>
    <w:rsid w:val="009B6D85"/>
    <w:rsid w:val="009B76D5"/>
    <w:rsid w:val="009D2CB8"/>
    <w:rsid w:val="009D6127"/>
    <w:rsid w:val="009E2CE9"/>
    <w:rsid w:val="009E2F72"/>
    <w:rsid w:val="009E4136"/>
    <w:rsid w:val="009E5194"/>
    <w:rsid w:val="009E60FA"/>
    <w:rsid w:val="00A13C94"/>
    <w:rsid w:val="00A41E5E"/>
    <w:rsid w:val="00A4257B"/>
    <w:rsid w:val="00A63577"/>
    <w:rsid w:val="00A67759"/>
    <w:rsid w:val="00A75533"/>
    <w:rsid w:val="00A819AE"/>
    <w:rsid w:val="00A83FD4"/>
    <w:rsid w:val="00A84EB0"/>
    <w:rsid w:val="00A87AE4"/>
    <w:rsid w:val="00A91BD2"/>
    <w:rsid w:val="00A9232C"/>
    <w:rsid w:val="00A94C4F"/>
    <w:rsid w:val="00AB04A4"/>
    <w:rsid w:val="00AB2090"/>
    <w:rsid w:val="00AC232E"/>
    <w:rsid w:val="00AD0BC1"/>
    <w:rsid w:val="00AD230F"/>
    <w:rsid w:val="00AD5780"/>
    <w:rsid w:val="00AE5B23"/>
    <w:rsid w:val="00AF3D8F"/>
    <w:rsid w:val="00AF443C"/>
    <w:rsid w:val="00B028C4"/>
    <w:rsid w:val="00B116B6"/>
    <w:rsid w:val="00B14075"/>
    <w:rsid w:val="00B16823"/>
    <w:rsid w:val="00B227EE"/>
    <w:rsid w:val="00B23EF9"/>
    <w:rsid w:val="00B27B30"/>
    <w:rsid w:val="00B27D8F"/>
    <w:rsid w:val="00B3143F"/>
    <w:rsid w:val="00B32761"/>
    <w:rsid w:val="00B35D51"/>
    <w:rsid w:val="00B549E6"/>
    <w:rsid w:val="00B57295"/>
    <w:rsid w:val="00B61901"/>
    <w:rsid w:val="00B643A3"/>
    <w:rsid w:val="00B64BD8"/>
    <w:rsid w:val="00B651DD"/>
    <w:rsid w:val="00B6603E"/>
    <w:rsid w:val="00B75835"/>
    <w:rsid w:val="00B85F73"/>
    <w:rsid w:val="00B92519"/>
    <w:rsid w:val="00B93EF3"/>
    <w:rsid w:val="00BA101A"/>
    <w:rsid w:val="00BA555C"/>
    <w:rsid w:val="00BA60F0"/>
    <w:rsid w:val="00BB5D0B"/>
    <w:rsid w:val="00BE21A6"/>
    <w:rsid w:val="00BF1CD3"/>
    <w:rsid w:val="00BF20C6"/>
    <w:rsid w:val="00BF28FE"/>
    <w:rsid w:val="00C002FE"/>
    <w:rsid w:val="00C00EFA"/>
    <w:rsid w:val="00C05284"/>
    <w:rsid w:val="00C07447"/>
    <w:rsid w:val="00C24CD0"/>
    <w:rsid w:val="00C33C60"/>
    <w:rsid w:val="00C3457A"/>
    <w:rsid w:val="00C54B7A"/>
    <w:rsid w:val="00C54CD2"/>
    <w:rsid w:val="00C55D2B"/>
    <w:rsid w:val="00C625A1"/>
    <w:rsid w:val="00C66D0B"/>
    <w:rsid w:val="00C679C7"/>
    <w:rsid w:val="00C73144"/>
    <w:rsid w:val="00C73848"/>
    <w:rsid w:val="00C82318"/>
    <w:rsid w:val="00C9110D"/>
    <w:rsid w:val="00C91244"/>
    <w:rsid w:val="00C96FC5"/>
    <w:rsid w:val="00CA4D43"/>
    <w:rsid w:val="00CA65C6"/>
    <w:rsid w:val="00CA7FB7"/>
    <w:rsid w:val="00CB2672"/>
    <w:rsid w:val="00CB4D8C"/>
    <w:rsid w:val="00CC3647"/>
    <w:rsid w:val="00CC6142"/>
    <w:rsid w:val="00CF225B"/>
    <w:rsid w:val="00D0126B"/>
    <w:rsid w:val="00D30F59"/>
    <w:rsid w:val="00D32CF7"/>
    <w:rsid w:val="00D44116"/>
    <w:rsid w:val="00D52F68"/>
    <w:rsid w:val="00D5380E"/>
    <w:rsid w:val="00D57AAD"/>
    <w:rsid w:val="00D61286"/>
    <w:rsid w:val="00D640F9"/>
    <w:rsid w:val="00D6412F"/>
    <w:rsid w:val="00D651C1"/>
    <w:rsid w:val="00D66198"/>
    <w:rsid w:val="00D75610"/>
    <w:rsid w:val="00D81CBE"/>
    <w:rsid w:val="00D93591"/>
    <w:rsid w:val="00D9615E"/>
    <w:rsid w:val="00DA02E0"/>
    <w:rsid w:val="00DA0C0E"/>
    <w:rsid w:val="00DA15B1"/>
    <w:rsid w:val="00DA4CEC"/>
    <w:rsid w:val="00DA7550"/>
    <w:rsid w:val="00DB1832"/>
    <w:rsid w:val="00DB1E5E"/>
    <w:rsid w:val="00DB3370"/>
    <w:rsid w:val="00DC3D1D"/>
    <w:rsid w:val="00DC54B9"/>
    <w:rsid w:val="00DD0E93"/>
    <w:rsid w:val="00DE080B"/>
    <w:rsid w:val="00DE4411"/>
    <w:rsid w:val="00DF69B7"/>
    <w:rsid w:val="00DF69EC"/>
    <w:rsid w:val="00E01573"/>
    <w:rsid w:val="00E02D8A"/>
    <w:rsid w:val="00E03CCC"/>
    <w:rsid w:val="00E217F5"/>
    <w:rsid w:val="00E269A8"/>
    <w:rsid w:val="00E36D12"/>
    <w:rsid w:val="00E50649"/>
    <w:rsid w:val="00E50F5E"/>
    <w:rsid w:val="00E60423"/>
    <w:rsid w:val="00E641FE"/>
    <w:rsid w:val="00E93575"/>
    <w:rsid w:val="00EE06CE"/>
    <w:rsid w:val="00EF2A94"/>
    <w:rsid w:val="00EF5C0B"/>
    <w:rsid w:val="00F057C1"/>
    <w:rsid w:val="00F07FDF"/>
    <w:rsid w:val="00F31AC4"/>
    <w:rsid w:val="00F61A85"/>
    <w:rsid w:val="00F63BBA"/>
    <w:rsid w:val="00F7466B"/>
    <w:rsid w:val="00F90FE9"/>
    <w:rsid w:val="00F921AD"/>
    <w:rsid w:val="00F9452A"/>
    <w:rsid w:val="00FA25ED"/>
    <w:rsid w:val="00FA74E3"/>
    <w:rsid w:val="00FC0D3B"/>
    <w:rsid w:val="0349E4F9"/>
    <w:rsid w:val="09D24D39"/>
    <w:rsid w:val="110B1FCB"/>
    <w:rsid w:val="119E7787"/>
    <w:rsid w:val="15BEC71F"/>
    <w:rsid w:val="17216BD7"/>
    <w:rsid w:val="1DFAD398"/>
    <w:rsid w:val="265E70FE"/>
    <w:rsid w:val="37B7895C"/>
    <w:rsid w:val="40FD2EDE"/>
    <w:rsid w:val="4B1EE7A1"/>
    <w:rsid w:val="4B885312"/>
    <w:rsid w:val="4BCDD408"/>
    <w:rsid w:val="52F956B3"/>
    <w:rsid w:val="6B5807AC"/>
    <w:rsid w:val="724A67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D58D09CA-D00F-4604-87F0-43A9D284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D8C"/>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link w:val="PrrafodelistaCar"/>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1"/>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customStyle="1" w:styleId="Titulo">
    <w:name w:val="Titulo"/>
    <w:basedOn w:val="Textoindependiente2"/>
    <w:link w:val="TituloCar"/>
    <w:rsid w:val="00A87AE4"/>
    <w:pPr>
      <w:numPr>
        <w:ilvl w:val="1"/>
        <w:numId w:val="3"/>
      </w:numPr>
      <w:spacing w:after="0" w:line="240" w:lineRule="auto"/>
      <w:jc w:val="both"/>
    </w:pPr>
    <w:rPr>
      <w:rFonts w:ascii="Arial" w:hAnsi="Arial" w:cs="Arial"/>
      <w:b/>
      <w:bCs/>
      <w:sz w:val="24"/>
      <w:szCs w:val="24"/>
    </w:rPr>
  </w:style>
  <w:style w:type="paragraph" w:customStyle="1" w:styleId="Titulo2">
    <w:name w:val="Titulo 2"/>
    <w:basedOn w:val="Titulo"/>
    <w:rsid w:val="00A87AE4"/>
    <w:pPr>
      <w:numPr>
        <w:ilvl w:val="0"/>
        <w:numId w:val="0"/>
      </w:numPr>
    </w:pPr>
  </w:style>
  <w:style w:type="character" w:customStyle="1" w:styleId="Titulo3Car">
    <w:name w:val="Titulo 3 Car"/>
    <w:basedOn w:val="Fuentedeprrafopredeter"/>
    <w:link w:val="Titulo3"/>
    <w:rsid w:val="00A87AE4"/>
    <w:rPr>
      <w:rFonts w:ascii="Arial" w:hAnsi="Arial" w:cs="Arial"/>
      <w:b/>
      <w:bCs/>
      <w:sz w:val="24"/>
      <w:szCs w:val="24"/>
      <w:lang w:val="es-ES" w:eastAsia="es-ES"/>
    </w:rPr>
  </w:style>
  <w:style w:type="paragraph" w:customStyle="1" w:styleId="Titulo3">
    <w:name w:val="Titulo 3"/>
    <w:basedOn w:val="Titulo"/>
    <w:link w:val="Titulo3Car"/>
    <w:rsid w:val="00A87AE4"/>
    <w:pPr>
      <w:numPr>
        <w:numId w:val="4"/>
      </w:numPr>
      <w:tabs>
        <w:tab w:val="clear" w:pos="1080"/>
        <w:tab w:val="num" w:pos="643"/>
      </w:tabs>
      <w:ind w:left="643"/>
    </w:pPr>
    <w:rPr>
      <w:rFonts w:eastAsiaTheme="minorHAnsi"/>
      <w:kern w:val="2"/>
      <w14:ligatures w14:val="standardContextual"/>
    </w:rPr>
  </w:style>
  <w:style w:type="character" w:customStyle="1" w:styleId="TituloCar">
    <w:name w:val="Titulo Car"/>
    <w:link w:val="Titulo"/>
    <w:rsid w:val="00A87AE4"/>
    <w:rPr>
      <w:rFonts w:ascii="Arial" w:eastAsia="Times New Roman" w:hAnsi="Arial" w:cs="Arial"/>
      <w:b/>
      <w:bCs/>
      <w:kern w:val="0"/>
      <w:sz w:val="24"/>
      <w:szCs w:val="24"/>
      <w:lang w:val="es-ES" w:eastAsia="es-ES"/>
      <w14:ligatures w14:val="none"/>
    </w:rPr>
  </w:style>
  <w:style w:type="character" w:customStyle="1" w:styleId="PrrafodelistaCar">
    <w:name w:val="Párrafo de lista Car"/>
    <w:aliases w:val="EY EPM - Lista Car"/>
    <w:link w:val="Prrafodelista"/>
    <w:uiPriority w:val="34"/>
    <w:locked/>
    <w:rsid w:val="00A87A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415902">
      <w:bodyDiv w:val="1"/>
      <w:marLeft w:val="0"/>
      <w:marRight w:val="0"/>
      <w:marTop w:val="0"/>
      <w:marBottom w:val="0"/>
      <w:divBdr>
        <w:top w:val="none" w:sz="0" w:space="0" w:color="auto"/>
        <w:left w:val="none" w:sz="0" w:space="0" w:color="auto"/>
        <w:bottom w:val="none" w:sz="0" w:space="0" w:color="auto"/>
        <w:right w:val="none" w:sz="0" w:space="0" w:color="auto"/>
      </w:divBdr>
    </w:div>
    <w:div w:id="194900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6999B8-11DC-482D-B19D-9EB02CB78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70DC4-63AF-4A0C-9015-3A688D3F230E}">
  <ds:schemaRefs>
    <ds:schemaRef ds:uri="http://schemas.openxmlformats.org/officeDocument/2006/bibliography"/>
  </ds:schemaRefs>
</ds:datastoreItem>
</file>

<file path=customXml/itemProps3.xml><?xml version="1.0" encoding="utf-8"?>
<ds:datastoreItem xmlns:ds="http://schemas.openxmlformats.org/officeDocument/2006/customXml" ds:itemID="{0DFF0E48-35D5-4BAC-889B-383B8F140A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CD7826-EC9E-4AC0-82C0-213E5C0AE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1619</Words>
  <Characters>9495</Characters>
  <Application>Microsoft Office Word</Application>
  <DocSecurity>0</DocSecurity>
  <Lines>228</Lines>
  <Paragraphs>66</Paragraphs>
  <ScaleCrop>false</ScaleCrop>
  <Company/>
  <LinksUpToDate>false</LinksUpToDate>
  <CharactersWithSpaces>11069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cp:lastModifiedBy>
  <cp:revision>53</cp:revision>
  <dcterms:created xsi:type="dcterms:W3CDTF">2025-11-19T15:44:00Z</dcterms:created>
  <dcterms:modified xsi:type="dcterms:W3CDTF">2026-04-13T15:53:00Z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89800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